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ascii="宋体" w:hAnsi="宋体" w:eastAsia="宋体" w:cs="宋体"/>
          <w:kern w:val="0"/>
          <w:sz w:val="32"/>
          <w:szCs w:val="32"/>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val="en-US" w:eastAsia="zh-CN"/>
        </w:rPr>
        <w:t>九</w:t>
      </w:r>
      <w:r>
        <w:rPr>
          <w:rFonts w:hint="eastAsia" w:ascii="宋体" w:hAnsi="宋体" w:eastAsia="宋体" w:cs="宋体"/>
          <w:kern w:val="0"/>
          <w:sz w:val="32"/>
          <w:szCs w:val="32"/>
        </w:rPr>
        <w:t>）</w:t>
      </w:r>
    </w:p>
    <w:p w14:paraId="10507E26">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我院拟对以下医疗设备项目进行项目听证、调研，欢迎符合条件的生产、经营企业报名参加，项目情况如下：</w:t>
      </w:r>
    </w:p>
    <w:p w14:paraId="43DE41CA">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一、项目内容及需求</w:t>
      </w:r>
    </w:p>
    <w:bookmarkEnd w:id="0"/>
    <w:tbl>
      <w:tblPr>
        <w:tblStyle w:val="6"/>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816"/>
        <w:gridCol w:w="648"/>
        <w:gridCol w:w="5248"/>
      </w:tblGrid>
      <w:tr w14:paraId="59E3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7FA4204A">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序号</w:t>
            </w:r>
          </w:p>
        </w:tc>
        <w:tc>
          <w:tcPr>
            <w:tcW w:w="2816" w:type="dxa"/>
            <w:vAlign w:val="center"/>
          </w:tcPr>
          <w:p w14:paraId="0EE34E2D">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项目名称</w:t>
            </w:r>
          </w:p>
        </w:tc>
        <w:tc>
          <w:tcPr>
            <w:tcW w:w="648" w:type="dxa"/>
            <w:vAlign w:val="center"/>
          </w:tcPr>
          <w:p w14:paraId="1B7F4B6A">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数量</w:t>
            </w:r>
          </w:p>
        </w:tc>
        <w:tc>
          <w:tcPr>
            <w:tcW w:w="5248" w:type="dxa"/>
            <w:vAlign w:val="center"/>
          </w:tcPr>
          <w:p w14:paraId="0197C099">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项目需求（包含且不限于）</w:t>
            </w:r>
          </w:p>
        </w:tc>
      </w:tr>
      <w:tr w14:paraId="52DD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4616AD30">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816" w:type="dxa"/>
            <w:vAlign w:val="center"/>
          </w:tcPr>
          <w:p w14:paraId="2619A023">
            <w:pPr>
              <w:keepNext w:val="0"/>
              <w:keepLines w:val="0"/>
              <w:widowControl/>
              <w:suppressLineNumbers w:val="0"/>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全自动医用电子血压计</w:t>
            </w:r>
          </w:p>
        </w:tc>
        <w:tc>
          <w:tcPr>
            <w:tcW w:w="648" w:type="dxa"/>
            <w:vAlign w:val="center"/>
          </w:tcPr>
          <w:p w14:paraId="67E2B060">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5248" w:type="dxa"/>
            <w:vAlign w:val="center"/>
          </w:tcPr>
          <w:p w14:paraId="73C088FE">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用于</w:t>
            </w:r>
            <w:r>
              <w:rPr>
                <w:rFonts w:hint="eastAsia" w:ascii="宋体" w:hAnsi="宋体" w:eastAsia="宋体" w:cs="宋体"/>
                <w:kern w:val="0"/>
                <w:sz w:val="21"/>
                <w:szCs w:val="21"/>
                <w:lang w:val="en-US" w:eastAsia="zh-CN" w:bidi="ar"/>
              </w:rPr>
              <w:t>人体</w:t>
            </w:r>
            <w:r>
              <w:rPr>
                <w:rFonts w:hint="default" w:ascii="宋体" w:hAnsi="宋体" w:eastAsia="宋体" w:cs="宋体"/>
                <w:kern w:val="0"/>
                <w:sz w:val="21"/>
                <w:szCs w:val="21"/>
                <w:lang w:val="en-US" w:eastAsia="zh-CN" w:bidi="ar"/>
              </w:rPr>
              <w:t>血压自动测量等</w:t>
            </w:r>
            <w:r>
              <w:rPr>
                <w:rFonts w:hint="eastAsia" w:ascii="宋体" w:hAnsi="宋体" w:eastAsia="宋体" w:cs="宋体"/>
                <w:kern w:val="0"/>
                <w:sz w:val="21"/>
                <w:szCs w:val="21"/>
                <w:lang w:val="en-US" w:eastAsia="zh-CN" w:bidi="ar"/>
              </w:rPr>
              <w:t>，臂筒设计，无需绑带，大屏幕清晰显示数值，有血压异常报警，配备可移动台架等</w:t>
            </w:r>
          </w:p>
        </w:tc>
      </w:tr>
      <w:tr w14:paraId="0BAF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68F2FBE3">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816" w:type="dxa"/>
            <w:vAlign w:val="center"/>
          </w:tcPr>
          <w:p w14:paraId="42D22439">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人体成分分析仪</w:t>
            </w:r>
          </w:p>
        </w:tc>
        <w:tc>
          <w:tcPr>
            <w:tcW w:w="648" w:type="dxa"/>
            <w:vAlign w:val="center"/>
          </w:tcPr>
          <w:p w14:paraId="295CC2B4">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5248" w:type="dxa"/>
            <w:vAlign w:val="center"/>
          </w:tcPr>
          <w:p w14:paraId="60192602">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用于人体分析评估身体各部位成分</w:t>
            </w:r>
            <w:r>
              <w:rPr>
                <w:rFonts w:hint="eastAsia" w:ascii="宋体" w:hAnsi="宋体" w:eastAsia="宋体" w:cs="宋体"/>
                <w:kern w:val="0"/>
                <w:sz w:val="21"/>
                <w:szCs w:val="21"/>
                <w:lang w:val="en-US" w:eastAsia="zh-CN" w:bidi="ar"/>
              </w:rPr>
              <w:t>，可测量多项人体成分及估测腰臀围，定期检测患者体成分的变化，可以评估治疗效果，及时调整治疗方案等，机子轻便，具有完整的华人数据库及大量的临床验证，为临床提供可靠的分析依据等</w:t>
            </w:r>
          </w:p>
        </w:tc>
      </w:tr>
      <w:tr w14:paraId="55F0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40250891">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816" w:type="dxa"/>
            <w:vAlign w:val="center"/>
          </w:tcPr>
          <w:p w14:paraId="0A366616">
            <w:pPr>
              <w:keepNext w:val="0"/>
              <w:keepLines w:val="0"/>
              <w:widowControl/>
              <w:suppressLineNumbers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sz w:val="21"/>
                <w:szCs w:val="21"/>
                <w:lang w:val="en-US" w:eastAsia="zh-CN"/>
              </w:rPr>
              <w:t>人体成分分析仪</w:t>
            </w:r>
          </w:p>
        </w:tc>
        <w:tc>
          <w:tcPr>
            <w:tcW w:w="648" w:type="dxa"/>
            <w:vAlign w:val="center"/>
          </w:tcPr>
          <w:p w14:paraId="6CC0A31D">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5248" w:type="dxa"/>
            <w:vAlign w:val="center"/>
          </w:tcPr>
          <w:p w14:paraId="01C5F08A">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主要用于身体成分、水分比例、营养状态、肥胖分析、浮肿状态、重量控制、健康诊断等功能</w:t>
            </w:r>
            <w:r>
              <w:rPr>
                <w:rFonts w:hint="eastAsia" w:ascii="宋体" w:hAnsi="宋体" w:eastAsia="宋体" w:cs="宋体"/>
                <w:kern w:val="0"/>
                <w:sz w:val="21"/>
                <w:szCs w:val="21"/>
                <w:lang w:val="en-US" w:eastAsia="zh-CN" w:bidi="ar"/>
              </w:rPr>
              <w:t>，</w:t>
            </w:r>
            <w:r>
              <w:rPr>
                <w:rFonts w:hint="default" w:ascii="宋体" w:hAnsi="宋体" w:eastAsia="宋体" w:cs="宋体"/>
                <w:kern w:val="0"/>
                <w:sz w:val="21"/>
                <w:szCs w:val="21"/>
                <w:lang w:val="en-US" w:eastAsia="zh-CN" w:bidi="ar"/>
              </w:rPr>
              <w:t>精准分析及评估身体各部位体成分数据，为营养评估、肌少症评估、营养管理、肥胖评估、健康管理等提供可靠数据</w:t>
            </w:r>
            <w:r>
              <w:rPr>
                <w:rFonts w:hint="eastAsia" w:ascii="宋体" w:hAnsi="宋体" w:eastAsia="宋体" w:cs="宋体"/>
                <w:kern w:val="0"/>
                <w:sz w:val="21"/>
                <w:szCs w:val="21"/>
                <w:lang w:val="en-US" w:eastAsia="zh-CN" w:bidi="ar"/>
              </w:rPr>
              <w:t>，</w:t>
            </w:r>
            <w:r>
              <w:rPr>
                <w:rFonts w:hint="default" w:ascii="宋体" w:hAnsi="宋体" w:eastAsia="宋体" w:cs="宋体"/>
                <w:kern w:val="0"/>
                <w:sz w:val="21"/>
                <w:szCs w:val="21"/>
                <w:lang w:val="en-US" w:eastAsia="zh-CN" w:bidi="ar"/>
              </w:rPr>
              <w:t>支持检测姿势：站姿、坐姿、卧姿，不限于站立体位，方便偏瘫、昏迷等失能卧床患者床旁检测</w:t>
            </w:r>
            <w:r>
              <w:rPr>
                <w:rFonts w:hint="eastAsia" w:ascii="宋体" w:hAnsi="宋体" w:eastAsia="宋体" w:cs="宋体"/>
                <w:kern w:val="0"/>
                <w:sz w:val="21"/>
                <w:szCs w:val="21"/>
                <w:lang w:val="en-US" w:eastAsia="zh-CN" w:bidi="ar"/>
              </w:rPr>
              <w:t>等</w:t>
            </w:r>
          </w:p>
        </w:tc>
      </w:tr>
      <w:tr w14:paraId="400A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210B8279">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816" w:type="dxa"/>
            <w:vAlign w:val="center"/>
          </w:tcPr>
          <w:p w14:paraId="277BFD1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胰岛素泵</w:t>
            </w:r>
          </w:p>
        </w:tc>
        <w:tc>
          <w:tcPr>
            <w:tcW w:w="648" w:type="dxa"/>
            <w:vAlign w:val="center"/>
          </w:tcPr>
          <w:p w14:paraId="337529BA">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5248" w:type="dxa"/>
            <w:vAlign w:val="center"/>
          </w:tcPr>
          <w:p w14:paraId="66AA7331">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用于糖尿病患者血糖控制等</w:t>
            </w:r>
            <w:r>
              <w:rPr>
                <w:rFonts w:hint="eastAsia" w:ascii="宋体" w:hAnsi="宋体" w:eastAsia="宋体" w:cs="宋体"/>
                <w:kern w:val="0"/>
                <w:sz w:val="21"/>
                <w:szCs w:val="21"/>
                <w:lang w:val="en-US" w:eastAsia="zh-CN" w:bidi="ar"/>
              </w:rPr>
              <w:t>，便携式，具有良好的隐蔽性等</w:t>
            </w:r>
          </w:p>
        </w:tc>
      </w:tr>
      <w:tr w14:paraId="6DF5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59" w:type="dxa"/>
            <w:vAlign w:val="center"/>
          </w:tcPr>
          <w:p w14:paraId="4B4537AB">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2816" w:type="dxa"/>
            <w:vAlign w:val="center"/>
          </w:tcPr>
          <w:p w14:paraId="73FED33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超声波身高体重秤</w:t>
            </w:r>
          </w:p>
        </w:tc>
        <w:tc>
          <w:tcPr>
            <w:tcW w:w="648" w:type="dxa"/>
            <w:vAlign w:val="center"/>
          </w:tcPr>
          <w:p w14:paraId="3B238B33">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5248" w:type="dxa"/>
            <w:vAlign w:val="center"/>
          </w:tcPr>
          <w:p w14:paraId="5589DE91">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用于测量患者身高、体重等</w:t>
            </w:r>
            <w:r>
              <w:rPr>
                <w:rFonts w:hint="eastAsia" w:ascii="宋体" w:hAnsi="宋体" w:eastAsia="宋体" w:cs="宋体"/>
                <w:kern w:val="0"/>
                <w:sz w:val="21"/>
                <w:szCs w:val="21"/>
                <w:lang w:val="en-US" w:eastAsia="zh-CN" w:bidi="ar"/>
              </w:rPr>
              <w:t>，操作简单，可以快速完成测量，BMI值计算，自动热敏打印，RS-232数据传输</w:t>
            </w:r>
          </w:p>
        </w:tc>
      </w:tr>
      <w:tr w14:paraId="63EC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69A33243">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2816" w:type="dxa"/>
            <w:vAlign w:val="center"/>
          </w:tcPr>
          <w:p w14:paraId="190DB91F">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动脉硬化检测装置</w:t>
            </w:r>
          </w:p>
        </w:tc>
        <w:tc>
          <w:tcPr>
            <w:tcW w:w="648" w:type="dxa"/>
            <w:vAlign w:val="center"/>
          </w:tcPr>
          <w:p w14:paraId="7E88329F">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5248" w:type="dxa"/>
            <w:vAlign w:val="center"/>
          </w:tcPr>
          <w:p w14:paraId="02696006">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rPr>
              <w:t>用于慢病管理</w:t>
            </w:r>
            <w:r>
              <w:rPr>
                <w:rFonts w:hint="eastAsia" w:ascii="宋体" w:hAnsi="宋体" w:eastAsia="宋体" w:cs="宋体"/>
                <w:sz w:val="21"/>
                <w:szCs w:val="21"/>
                <w:lang w:eastAsia="zh-CN"/>
              </w:rPr>
              <w:t>，在同一心动周期内采集心电、心音、四肢脉搏波信号，同时计算脉搏波传导速度baPWV，</w:t>
            </w:r>
            <w:r>
              <w:rPr>
                <w:rFonts w:hint="eastAsia" w:ascii="宋体" w:hAnsi="宋体" w:eastAsia="宋体" w:cs="宋体"/>
                <w:sz w:val="21"/>
                <w:szCs w:val="21"/>
                <w:lang w:val="en-US" w:eastAsia="zh-CN"/>
              </w:rPr>
              <w:t>检测参数包含</w:t>
            </w:r>
            <w:r>
              <w:rPr>
                <w:rFonts w:hint="eastAsia" w:ascii="宋体" w:hAnsi="宋体" w:eastAsia="宋体" w:cs="宋体"/>
                <w:sz w:val="21"/>
                <w:szCs w:val="21"/>
              </w:rPr>
              <w:t>PWV</w:t>
            </w:r>
            <w:r>
              <w:rPr>
                <w:rFonts w:hint="eastAsia" w:ascii="宋体" w:hAnsi="宋体" w:eastAsia="宋体" w:cs="宋体"/>
                <w:sz w:val="21"/>
                <w:szCs w:val="21"/>
                <w:lang w:eastAsia="zh-CN"/>
              </w:rPr>
              <w:t>、</w:t>
            </w:r>
            <w:r>
              <w:rPr>
                <w:rFonts w:hint="eastAsia" w:ascii="宋体" w:hAnsi="宋体" w:eastAsia="宋体" w:cs="宋体"/>
                <w:sz w:val="21"/>
                <w:szCs w:val="21"/>
              </w:rPr>
              <w:t>ABI</w:t>
            </w:r>
            <w:r>
              <w:rPr>
                <w:rFonts w:hint="eastAsia" w:ascii="宋体" w:hAnsi="宋体" w:eastAsia="宋体" w:cs="宋体"/>
                <w:sz w:val="21"/>
                <w:szCs w:val="21"/>
                <w:lang w:eastAsia="zh-CN"/>
              </w:rPr>
              <w:t>、</w:t>
            </w:r>
            <w:r>
              <w:rPr>
                <w:rFonts w:hint="eastAsia" w:ascii="宋体" w:hAnsi="宋体" w:eastAsia="宋体" w:cs="宋体"/>
                <w:sz w:val="21"/>
                <w:szCs w:val="21"/>
              </w:rPr>
              <w:t>四肢SYS、DIA、MAP</w:t>
            </w:r>
            <w:r>
              <w:rPr>
                <w:rFonts w:hint="eastAsia" w:ascii="宋体" w:hAnsi="宋体" w:eastAsia="宋体" w:cs="宋体"/>
                <w:sz w:val="21"/>
                <w:szCs w:val="21"/>
                <w:lang w:eastAsia="zh-CN"/>
              </w:rPr>
              <w:t>、</w:t>
            </w:r>
            <w:r>
              <w:rPr>
                <w:rFonts w:hint="eastAsia" w:ascii="宋体" w:hAnsi="宋体" w:eastAsia="宋体" w:cs="宋体"/>
                <w:sz w:val="21"/>
                <w:szCs w:val="21"/>
              </w:rPr>
              <w:t>PP</w:t>
            </w:r>
            <w:r>
              <w:rPr>
                <w:rFonts w:hint="eastAsia" w:ascii="宋体" w:hAnsi="宋体" w:eastAsia="宋体" w:cs="宋体"/>
                <w:sz w:val="21"/>
                <w:szCs w:val="21"/>
                <w:lang w:eastAsia="zh-CN"/>
              </w:rPr>
              <w:t>、</w:t>
            </w:r>
            <w:r>
              <w:rPr>
                <w:rFonts w:hint="eastAsia" w:ascii="宋体" w:hAnsi="宋体" w:eastAsia="宋体" w:cs="宋体"/>
                <w:sz w:val="21"/>
                <w:szCs w:val="21"/>
              </w:rPr>
              <w:t>STI</w:t>
            </w:r>
            <w:r>
              <w:rPr>
                <w:rFonts w:hint="eastAsia" w:ascii="宋体" w:hAnsi="宋体" w:eastAsia="宋体" w:cs="宋体"/>
                <w:sz w:val="21"/>
                <w:szCs w:val="21"/>
                <w:lang w:val="en-US" w:eastAsia="zh-CN"/>
              </w:rPr>
              <w:t>等</w:t>
            </w:r>
          </w:p>
        </w:tc>
      </w:tr>
    </w:tbl>
    <w:p w14:paraId="7B52DABC">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二、供应商资格</w:t>
      </w:r>
    </w:p>
    <w:p w14:paraId="4B308E4E">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（三）具有履行项目所必需的设备和专业技术能力</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所报产品具备有效的医疗器械注册证明</w:t>
      </w:r>
      <w:r>
        <w:rPr>
          <w:rFonts w:hint="eastAsia" w:ascii="宋体" w:hAnsi="宋体" w:eastAsia="宋体" w:cs="宋体"/>
          <w:kern w:val="0"/>
          <w:szCs w:val="21"/>
        </w:rPr>
        <w:t>；</w:t>
      </w:r>
    </w:p>
    <w:p w14:paraId="7AC2A6E8">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五</w:t>
      </w:r>
      <w:r>
        <w:rPr>
          <w:rFonts w:hint="eastAsia" w:ascii="宋体" w:hAnsi="宋体" w:eastAsia="宋体" w:cs="宋体"/>
          <w:kern w:val="0"/>
          <w:szCs w:val="21"/>
          <w:lang w:eastAsia="zh-CN"/>
        </w:rPr>
        <w:t>）如报名公司为代理经销商，</w:t>
      </w:r>
      <w:r>
        <w:rPr>
          <w:rFonts w:hint="eastAsia" w:ascii="宋体" w:hAnsi="宋体" w:eastAsia="宋体" w:cs="宋体"/>
          <w:kern w:val="0"/>
          <w:szCs w:val="21"/>
          <w:lang w:val="en-US" w:eastAsia="zh-CN"/>
        </w:rPr>
        <w:t>需</w:t>
      </w:r>
      <w:r>
        <w:rPr>
          <w:rFonts w:hint="eastAsia" w:ascii="宋体" w:hAnsi="宋体" w:eastAsia="宋体" w:cs="宋体"/>
          <w:kern w:val="0"/>
          <w:szCs w:val="21"/>
          <w:lang w:eastAsia="zh-CN"/>
        </w:rPr>
        <w:t>具备有效的</w:t>
      </w:r>
      <w:r>
        <w:rPr>
          <w:rFonts w:hint="eastAsia" w:ascii="宋体" w:hAnsi="宋体" w:eastAsia="宋体" w:cs="宋体"/>
          <w:kern w:val="0"/>
          <w:szCs w:val="21"/>
          <w:lang w:val="en-US" w:eastAsia="zh-CN"/>
        </w:rPr>
        <w:t>生产厂家对</w:t>
      </w:r>
      <w:r>
        <w:rPr>
          <w:rFonts w:hint="eastAsia" w:ascii="宋体" w:hAnsi="宋体" w:eastAsia="宋体" w:cs="宋体"/>
          <w:kern w:val="0"/>
          <w:szCs w:val="21"/>
        </w:rPr>
        <w:t>授权代表</w:t>
      </w:r>
      <w:r>
        <w:rPr>
          <w:rFonts w:hint="eastAsia" w:ascii="宋体" w:hAnsi="宋体" w:eastAsia="宋体" w:cs="宋体"/>
          <w:kern w:val="0"/>
          <w:szCs w:val="21"/>
          <w:lang w:val="en-US" w:eastAsia="zh-CN"/>
        </w:rPr>
        <w:t>的</w:t>
      </w:r>
      <w:r>
        <w:rPr>
          <w:rFonts w:hint="eastAsia" w:ascii="宋体" w:hAnsi="宋体" w:eastAsia="宋体" w:cs="宋体"/>
          <w:kern w:val="0"/>
          <w:szCs w:val="21"/>
          <w:lang w:eastAsia="zh-CN"/>
        </w:rPr>
        <w:t>授权证明资料</w:t>
      </w:r>
    </w:p>
    <w:p w14:paraId="2F39B0A8">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四、供应商报名方式</w:t>
      </w:r>
    </w:p>
    <w:p w14:paraId="157CDB12">
      <w:pPr>
        <w:widowControl/>
        <w:spacing w:before="100" w:beforeAutospacing="1" w:after="100" w:afterAutospacing="1"/>
        <w:ind w:firstLine="288"/>
        <w:jc w:val="left"/>
        <w:rPr>
          <w:rFonts w:ascii="宋体" w:hAnsi="宋体" w:eastAsia="宋体" w:cs="宋体"/>
          <w:kern w:val="0"/>
          <w:szCs w:val="21"/>
        </w:rPr>
      </w:pPr>
      <w:r>
        <w:rPr>
          <w:rFonts w:ascii="宋体" w:hAnsi="宋体" w:eastAsia="宋体" w:cs="宋体"/>
          <w:kern w:val="0"/>
          <w:szCs w:val="21"/>
        </w:rPr>
        <w:t>符合资格的供应商可在202</w:t>
      </w:r>
      <w:r>
        <w:rPr>
          <w:rFonts w:hint="eastAsia" w:ascii="宋体" w:hAnsi="宋体" w:eastAsia="宋体" w:cs="宋体"/>
          <w:kern w:val="0"/>
          <w:szCs w:val="21"/>
          <w:lang w:val="en-US" w:eastAsia="zh-CN"/>
        </w:rPr>
        <w:t>5</w:t>
      </w:r>
      <w:r>
        <w:rPr>
          <w:rFonts w:ascii="宋体" w:hAnsi="宋体" w:eastAsia="宋体" w:cs="宋体"/>
          <w:kern w:val="0"/>
          <w:szCs w:val="21"/>
        </w:rPr>
        <w:t>年</w:t>
      </w:r>
      <w:r>
        <w:rPr>
          <w:rFonts w:hint="eastAsia" w:ascii="宋体" w:hAnsi="宋体" w:eastAsia="宋体" w:cs="宋体"/>
          <w:kern w:val="0"/>
          <w:szCs w:val="21"/>
          <w:lang w:val="en-US" w:eastAsia="zh-CN"/>
        </w:rPr>
        <w:t>5</w:t>
      </w:r>
      <w:r>
        <w:rPr>
          <w:rFonts w:ascii="宋体" w:hAnsi="宋体" w:eastAsia="宋体" w:cs="宋体"/>
          <w:kern w:val="0"/>
          <w:szCs w:val="21"/>
        </w:rPr>
        <w:t>月</w:t>
      </w:r>
      <w:r>
        <w:rPr>
          <w:rFonts w:hint="eastAsia" w:ascii="宋体" w:hAnsi="宋体" w:eastAsia="宋体" w:cs="宋体"/>
          <w:kern w:val="0"/>
          <w:szCs w:val="21"/>
          <w:lang w:val="en-US" w:eastAsia="zh-CN"/>
        </w:rPr>
        <w:t>7</w:t>
      </w:r>
      <w:r>
        <w:rPr>
          <w:rFonts w:ascii="宋体" w:hAnsi="宋体" w:eastAsia="宋体" w:cs="宋体"/>
          <w:kern w:val="0"/>
          <w:szCs w:val="21"/>
        </w:rPr>
        <w:t>日至20</w:t>
      </w:r>
      <w:r>
        <w:rPr>
          <w:rFonts w:hint="eastAsia" w:ascii="宋体" w:hAnsi="宋体" w:eastAsia="宋体" w:cs="宋体"/>
          <w:kern w:val="0"/>
          <w:szCs w:val="21"/>
          <w:lang w:val="en-US" w:eastAsia="zh-CN"/>
        </w:rPr>
        <w:t>25</w:t>
      </w:r>
      <w:r>
        <w:rPr>
          <w:rFonts w:ascii="宋体" w:hAnsi="宋体" w:eastAsia="宋体" w:cs="宋体"/>
          <w:kern w:val="0"/>
          <w:szCs w:val="21"/>
        </w:rPr>
        <w:t>年</w:t>
      </w:r>
      <w:r>
        <w:rPr>
          <w:rFonts w:hint="eastAsia" w:ascii="宋体" w:hAnsi="宋体" w:eastAsia="宋体" w:cs="宋体"/>
          <w:kern w:val="0"/>
          <w:szCs w:val="21"/>
          <w:lang w:val="en-US" w:eastAsia="zh-CN"/>
        </w:rPr>
        <w:t>5</w:t>
      </w:r>
      <w:r>
        <w:rPr>
          <w:rFonts w:ascii="宋体" w:hAnsi="宋体" w:eastAsia="宋体" w:cs="宋体"/>
          <w:kern w:val="0"/>
          <w:szCs w:val="21"/>
        </w:rPr>
        <w:t>月</w:t>
      </w:r>
      <w:r>
        <w:rPr>
          <w:rFonts w:hint="eastAsia" w:ascii="宋体" w:hAnsi="宋体" w:eastAsia="宋体" w:cs="宋体"/>
          <w:kern w:val="0"/>
          <w:szCs w:val="21"/>
          <w:lang w:val="en-US" w:eastAsia="zh-CN"/>
        </w:rPr>
        <w:t>13</w:t>
      </w:r>
      <w:r>
        <w:rPr>
          <w:rFonts w:ascii="宋体" w:hAnsi="宋体" w:eastAsia="宋体" w:cs="宋体"/>
          <w:kern w:val="0"/>
          <w:szCs w:val="21"/>
        </w:rPr>
        <w:t>日</w:t>
      </w:r>
      <w:r>
        <w:rPr>
          <w:rFonts w:hint="eastAsia" w:ascii="宋体" w:hAnsi="宋体" w:eastAsia="宋体" w:cs="宋体"/>
          <w:kern w:val="0"/>
          <w:szCs w:val="21"/>
        </w:rPr>
        <w:t>17:30</w:t>
      </w:r>
      <w:r>
        <w:rPr>
          <w:rFonts w:hint="eastAsia" w:ascii="宋体" w:hAnsi="宋体" w:eastAsia="宋体" w:cs="宋体"/>
          <w:kern w:val="0"/>
          <w:szCs w:val="21"/>
          <w:lang w:val="en-US" w:eastAsia="zh-CN"/>
        </w:rPr>
        <w:t>提供</w:t>
      </w:r>
      <w:r>
        <w:rPr>
          <w:rFonts w:hint="eastAsia" w:ascii="宋体" w:hAnsi="宋体" w:eastAsia="宋体" w:cs="宋体"/>
          <w:b/>
          <w:bCs/>
          <w:kern w:val="0"/>
          <w:szCs w:val="21"/>
          <w:lang w:val="en-US" w:eastAsia="zh-CN"/>
        </w:rPr>
        <w:t xml:space="preserve">附件1 </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调研论证报名文件</w:t>
      </w:r>
      <w:r>
        <w:rPr>
          <w:rFonts w:hint="eastAsia" w:ascii="宋体" w:hAnsi="宋体" w:eastAsia="宋体" w:cs="宋体"/>
          <w:b/>
          <w:bCs/>
          <w:kern w:val="0"/>
          <w:szCs w:val="21"/>
          <w:lang w:eastAsia="zh-CN"/>
        </w:rPr>
        <w:t>”</w:t>
      </w:r>
      <w:r>
        <w:rPr>
          <w:rFonts w:hint="eastAsia" w:ascii="宋体" w:hAnsi="宋体" w:eastAsia="宋体" w:cs="宋体"/>
          <w:b w:val="0"/>
          <w:bCs w:val="0"/>
          <w:kern w:val="0"/>
          <w:szCs w:val="21"/>
          <w:lang w:val="en-US" w:eastAsia="zh-CN"/>
        </w:rPr>
        <w:t>并</w:t>
      </w:r>
      <w:r>
        <w:rPr>
          <w:rFonts w:hint="eastAsia" w:ascii="宋体" w:hAnsi="宋体" w:eastAsia="宋体" w:cs="宋体"/>
          <w:kern w:val="0"/>
          <w:szCs w:val="21"/>
          <w:lang w:val="en-US" w:eastAsia="zh-CN"/>
        </w:rPr>
        <w:t>以</w:t>
      </w:r>
      <w:r>
        <w:rPr>
          <w:rFonts w:ascii="宋体" w:hAnsi="宋体" w:eastAsia="宋体" w:cs="宋体"/>
          <w:kern w:val="0"/>
          <w:szCs w:val="21"/>
        </w:rPr>
        <w:t>电子邮件形式</w:t>
      </w:r>
      <w:r>
        <w:rPr>
          <w:rFonts w:hint="eastAsia" w:ascii="宋体" w:hAnsi="宋体" w:eastAsia="宋体" w:cs="宋体"/>
          <w:kern w:val="0"/>
          <w:szCs w:val="21"/>
        </w:rPr>
        <w:t>（PDF文件，邮件主题格式：序号+项目名称+供应商名称）发至</w:t>
      </w:r>
      <w:r>
        <w:rPr>
          <w:rFonts w:ascii="宋体" w:hAnsi="宋体" w:eastAsia="宋体" w:cs="宋体"/>
          <w:kern w:val="0"/>
          <w:szCs w:val="21"/>
        </w:rPr>
        <w:t>邮箱</w:t>
      </w:r>
      <w:r>
        <w:rPr>
          <w:rFonts w:hint="eastAsia" w:ascii="宋体" w:hAnsi="宋体" w:eastAsia="宋体" w:cs="宋体"/>
          <w:kern w:val="0"/>
          <w:szCs w:val="21"/>
        </w:rPr>
        <w:t>gysysbzx@163.com，纸质版资料提交时间另行通知</w:t>
      </w:r>
    </w:p>
    <w:p w14:paraId="33DE17FC">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rPr>
        <w:t>五、听证地点：广州医科大学附属第四医院8号办公楼</w:t>
      </w:r>
      <w:r>
        <w:rPr>
          <w:rFonts w:hint="eastAsia" w:ascii="宋体" w:hAnsi="宋体" w:eastAsia="宋体" w:cs="宋体"/>
          <w:kern w:val="0"/>
          <w:szCs w:val="21"/>
          <w:lang w:val="en-US" w:eastAsia="zh-CN"/>
        </w:rPr>
        <w:t>4楼第三会议室</w:t>
      </w:r>
    </w:p>
    <w:p w14:paraId="7A0B568D">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听证时间：另行通知</w:t>
      </w:r>
    </w:p>
    <w:p w14:paraId="43D54116">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六、联系方式</w:t>
      </w:r>
    </w:p>
    <w:p w14:paraId="6272DC7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设备中心联系电话：020-62287620、020-62287621</w:t>
      </w:r>
    </w:p>
    <w:p w14:paraId="1BBD9DFE">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联系人：林老师、姚老师</w:t>
      </w:r>
    </w:p>
    <w:p w14:paraId="309C9791">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地址：广州市增城区增江街光明东路1号</w:t>
      </w:r>
    </w:p>
    <w:p w14:paraId="4103A2EC">
      <w:pPr>
        <w:widowControl/>
        <w:spacing w:before="100" w:beforeAutospacing="1" w:after="100" w:afterAutospacing="1"/>
        <w:ind w:firstLine="288"/>
        <w:jc w:val="left"/>
        <w:rPr>
          <w:rFonts w:hint="eastAsia" w:ascii="宋体" w:hAnsi="宋体" w:eastAsia="宋体" w:cs="宋体"/>
          <w:kern w:val="0"/>
          <w:szCs w:val="21"/>
        </w:rPr>
      </w:pPr>
    </w:p>
    <w:p w14:paraId="231FC44F">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05C24E65">
      <w:pPr>
        <w:jc w:val="right"/>
        <w:rPr>
          <w:rFonts w:ascii="宋体" w:hAnsi="宋体" w:eastAsia="宋体" w:cs="宋体"/>
          <w:kern w:val="0"/>
          <w:szCs w:val="21"/>
        </w:rPr>
      </w:pPr>
    </w:p>
    <w:p w14:paraId="73EC9481">
      <w:pPr>
        <w:jc w:val="right"/>
        <w:rPr>
          <w:rFonts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2B4E55CB">
      <w:pPr>
        <w:jc w:val="right"/>
        <w:rPr>
          <w:rFonts w:hint="eastAsia" w:ascii="宋体" w:hAnsi="宋体" w:eastAsia="宋体" w:cs="宋体"/>
          <w:kern w:val="0"/>
          <w:szCs w:val="21"/>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5</w:t>
      </w:r>
      <w:r>
        <w:rPr>
          <w:rFonts w:hint="eastAsia" w:ascii="宋体" w:hAnsi="宋体" w:eastAsia="宋体" w:cs="宋体"/>
          <w:kern w:val="0"/>
          <w:szCs w:val="21"/>
        </w:rPr>
        <w:t>月</w:t>
      </w:r>
      <w:r>
        <w:rPr>
          <w:rFonts w:hint="eastAsia" w:ascii="宋体" w:hAnsi="宋体" w:eastAsia="宋体" w:cs="宋体"/>
          <w:kern w:val="0"/>
          <w:szCs w:val="21"/>
          <w:lang w:val="en-US" w:eastAsia="zh-CN"/>
        </w:rPr>
        <w:t>7</w:t>
      </w:r>
      <w:bookmarkStart w:id="1" w:name="_GoBack"/>
      <w:bookmarkEnd w:id="1"/>
      <w:r>
        <w:rPr>
          <w:rFonts w:hint="eastAsia" w:ascii="宋体" w:hAnsi="宋体" w:eastAsia="宋体" w:cs="宋体"/>
          <w:kern w:val="0"/>
          <w:szCs w:val="21"/>
        </w:rPr>
        <w:t>日</w:t>
      </w:r>
    </w:p>
    <w:p w14:paraId="60725843">
      <w:pPr>
        <w:jc w:val="right"/>
        <w:rPr>
          <w:rFonts w:hint="eastAsia" w:ascii="宋体" w:hAnsi="宋体" w:eastAsia="宋体" w:cs="宋体"/>
          <w:kern w:val="0"/>
          <w:szCs w:val="21"/>
        </w:rPr>
      </w:pPr>
    </w:p>
    <w:p w14:paraId="0CD8FF36">
      <w:pPr>
        <w:jc w:val="right"/>
        <w:rPr>
          <w:rFonts w:hint="eastAsia" w:ascii="宋体" w:hAnsi="宋体" w:eastAsia="宋体" w:cs="宋体"/>
          <w:kern w:val="0"/>
          <w:szCs w:val="21"/>
        </w:rPr>
      </w:pPr>
    </w:p>
    <w:p w14:paraId="01105392">
      <w:pPr>
        <w:jc w:val="right"/>
        <w:rPr>
          <w:rFonts w:hint="eastAsia" w:ascii="宋体" w:hAnsi="宋体" w:eastAsia="宋体" w:cs="宋体"/>
          <w:kern w:val="0"/>
          <w:szCs w:val="21"/>
        </w:rPr>
      </w:pPr>
    </w:p>
    <w:p w14:paraId="59422C4A">
      <w:pPr>
        <w:jc w:val="right"/>
        <w:rPr>
          <w:rFonts w:hint="eastAsia" w:ascii="宋体" w:hAnsi="宋体" w:eastAsia="宋体" w:cs="宋体"/>
          <w:kern w:val="0"/>
          <w:szCs w:val="21"/>
        </w:rPr>
      </w:pPr>
    </w:p>
    <w:p w14:paraId="7E0FBD16">
      <w:pPr>
        <w:jc w:val="right"/>
        <w:rPr>
          <w:rFonts w:hint="eastAsia" w:ascii="宋体" w:hAnsi="宋体" w:eastAsia="宋体" w:cs="宋体"/>
          <w:kern w:val="0"/>
          <w:szCs w:val="21"/>
        </w:rPr>
      </w:pPr>
    </w:p>
    <w:p w14:paraId="72D19EDC">
      <w:pPr>
        <w:jc w:val="right"/>
        <w:rPr>
          <w:rFonts w:hint="eastAsia" w:ascii="宋体" w:hAnsi="宋体" w:eastAsia="宋体" w:cs="宋体"/>
          <w:kern w:val="0"/>
          <w:szCs w:val="21"/>
        </w:rPr>
      </w:pPr>
    </w:p>
    <w:p w14:paraId="5BCC9DAF">
      <w:pPr>
        <w:jc w:val="right"/>
        <w:rPr>
          <w:rFonts w:hint="eastAsia" w:ascii="宋体" w:hAnsi="宋体" w:eastAsia="宋体" w:cs="宋体"/>
          <w:kern w:val="0"/>
          <w:szCs w:val="21"/>
        </w:rPr>
      </w:pPr>
    </w:p>
    <w:p w14:paraId="5B564D3F">
      <w:pPr>
        <w:jc w:val="right"/>
        <w:rPr>
          <w:rFonts w:hint="eastAsia" w:ascii="宋体" w:hAnsi="宋体" w:eastAsia="宋体" w:cs="宋体"/>
          <w:kern w:val="0"/>
          <w:szCs w:val="21"/>
        </w:rPr>
      </w:pPr>
    </w:p>
    <w:p w14:paraId="6AEAE769">
      <w:pPr>
        <w:jc w:val="both"/>
        <w:rPr>
          <w:rFonts w:hint="eastAsia" w:ascii="宋体" w:hAnsi="宋体" w:eastAsia="宋体" w:cs="宋体"/>
          <w:kern w:val="0"/>
          <w:szCs w:val="21"/>
        </w:rPr>
      </w:pPr>
    </w:p>
    <w:p w14:paraId="5465D2F2">
      <w:pPr>
        <w:jc w:val="left"/>
        <w:rPr>
          <w:rFonts w:hint="eastAsia" w:ascii="宋体" w:hAnsi="宋体" w:eastAsia="宋体" w:cs="宋体"/>
          <w:kern w:val="0"/>
          <w:szCs w:val="21"/>
          <w:lang w:val="en-US" w:eastAsia="zh-CN"/>
        </w:rPr>
      </w:pPr>
    </w:p>
    <w:p w14:paraId="7D30AF87">
      <w:pPr>
        <w:jc w:val="left"/>
        <w:rPr>
          <w:rFonts w:hint="eastAsia" w:ascii="宋体" w:hAnsi="宋体" w:eastAsia="宋体" w:cs="宋体"/>
          <w:kern w:val="0"/>
          <w:szCs w:val="21"/>
          <w:lang w:val="en-US" w:eastAsia="zh-CN"/>
        </w:rPr>
      </w:pPr>
    </w:p>
    <w:p w14:paraId="31F4CFA9">
      <w:pPr>
        <w:jc w:val="left"/>
        <w:rPr>
          <w:rFonts w:hint="eastAsia" w:ascii="宋体" w:hAnsi="宋体" w:eastAsia="宋体" w:cs="宋体"/>
          <w:kern w:val="0"/>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GYSYSBZXTZ202509</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广州医科大学附属第四医院2025年度医疗设备听证（九）</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94B8F4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389DCF">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2BFBD333">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2473BFE4">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6607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pct"/>
            <w:vAlign w:val="center"/>
          </w:tcPr>
          <w:p w14:paraId="7957A341">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5188500C">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6D1CBB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2BD5E555">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61E1E2D3">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D20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3B28100">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7327E1EB">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315F74A9">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5EDDB717">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7C4C7DE4">
            <w:pPr>
              <w:widowControl w:val="0"/>
              <w:numPr>
                <w:ilvl w:val="0"/>
                <w:numId w:val="0"/>
              </w:numPr>
              <w:jc w:val="center"/>
              <w:rPr>
                <w:rFonts w:hint="eastAsia" w:ascii="仿宋" w:hAnsi="仿宋" w:eastAsia="仿宋" w:cs="仿宋"/>
                <w:sz w:val="28"/>
                <w:szCs w:val="28"/>
                <w:vertAlign w:val="baseline"/>
                <w:lang w:val="en-US" w:eastAsia="zh-CN"/>
              </w:rPr>
            </w:pPr>
          </w:p>
        </w:tc>
      </w:tr>
      <w:tr w14:paraId="463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02E359B">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1919E2E9">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7F035594">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9CBE87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1924C74C">
            <w:pPr>
              <w:widowControl w:val="0"/>
              <w:numPr>
                <w:ilvl w:val="0"/>
                <w:numId w:val="0"/>
              </w:numPr>
              <w:jc w:val="center"/>
              <w:rPr>
                <w:rFonts w:hint="eastAsia" w:ascii="仿宋" w:hAnsi="仿宋" w:eastAsia="仿宋" w:cs="仿宋"/>
                <w:sz w:val="28"/>
                <w:szCs w:val="28"/>
                <w:vertAlign w:val="baseline"/>
                <w:lang w:val="en-US" w:eastAsia="zh-CN"/>
              </w:rPr>
            </w:pPr>
          </w:p>
        </w:tc>
      </w:tr>
    </w:tbl>
    <w:p w14:paraId="3D1C4E17">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0DB694B3">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2620A7C">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22923D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FFD7C88">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F01992"/>
    <w:rsid w:val="08907387"/>
    <w:rsid w:val="0BBD7257"/>
    <w:rsid w:val="0F4A52C7"/>
    <w:rsid w:val="11915D0D"/>
    <w:rsid w:val="12260CF8"/>
    <w:rsid w:val="15106DCE"/>
    <w:rsid w:val="160D2CC9"/>
    <w:rsid w:val="18683255"/>
    <w:rsid w:val="189C2C81"/>
    <w:rsid w:val="19E95123"/>
    <w:rsid w:val="1BD34839"/>
    <w:rsid w:val="218A52BB"/>
    <w:rsid w:val="23F44106"/>
    <w:rsid w:val="275A6452"/>
    <w:rsid w:val="2C732934"/>
    <w:rsid w:val="2C8E6136"/>
    <w:rsid w:val="2EAA2956"/>
    <w:rsid w:val="32123919"/>
    <w:rsid w:val="32D23875"/>
    <w:rsid w:val="3D3954D4"/>
    <w:rsid w:val="3D69136E"/>
    <w:rsid w:val="42A7342F"/>
    <w:rsid w:val="43211A2B"/>
    <w:rsid w:val="459B3BA5"/>
    <w:rsid w:val="48D563EE"/>
    <w:rsid w:val="4DB4715F"/>
    <w:rsid w:val="4F5E3050"/>
    <w:rsid w:val="51261F2B"/>
    <w:rsid w:val="53F80C41"/>
    <w:rsid w:val="59F81E44"/>
    <w:rsid w:val="5A285D45"/>
    <w:rsid w:val="5B776C60"/>
    <w:rsid w:val="5C0C05B0"/>
    <w:rsid w:val="5F0A34BF"/>
    <w:rsid w:val="600E33F2"/>
    <w:rsid w:val="60100D25"/>
    <w:rsid w:val="60BD2EBC"/>
    <w:rsid w:val="617445B9"/>
    <w:rsid w:val="63D27C36"/>
    <w:rsid w:val="6A9952D7"/>
    <w:rsid w:val="6B080305"/>
    <w:rsid w:val="6CB712F2"/>
    <w:rsid w:val="6FED6A31"/>
    <w:rsid w:val="70F16351"/>
    <w:rsid w:val="773D3CF5"/>
    <w:rsid w:val="79890A6E"/>
    <w:rsid w:val="79C830A9"/>
    <w:rsid w:val="7AB67857"/>
    <w:rsid w:val="7B3A4850"/>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3449</Words>
  <Characters>3598</Characters>
  <Lines>12</Lines>
  <Paragraphs>3</Paragraphs>
  <TotalTime>25</TotalTime>
  <ScaleCrop>false</ScaleCrop>
  <LinksUpToDate>false</LinksUpToDate>
  <CharactersWithSpaces>4124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2025-05-07T01:27:21Z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