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3DF6B">
      <w:pPr>
        <w:widowControl/>
        <w:jc w:val="center"/>
        <w:rPr>
          <w:rFonts w:hint="eastAsia"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w:t>
      </w:r>
      <w:r>
        <w:rPr>
          <w:rFonts w:hint="eastAsia" w:ascii="宋体" w:hAnsi="宋体" w:eastAsia="宋体" w:cs="宋体"/>
          <w:kern w:val="0"/>
          <w:sz w:val="32"/>
          <w:szCs w:val="32"/>
          <w:lang w:val="en-US" w:eastAsia="zh-CN"/>
        </w:rPr>
        <w:t>十三</w:t>
      </w:r>
      <w:r>
        <w:rPr>
          <w:rFonts w:hint="eastAsia" w:ascii="宋体" w:hAnsi="宋体" w:eastAsia="宋体" w:cs="宋体"/>
          <w:kern w:val="0"/>
          <w:sz w:val="32"/>
          <w:szCs w:val="32"/>
        </w:rPr>
        <w:t>）</w:t>
      </w:r>
    </w:p>
    <w:p w14:paraId="1006E89A">
      <w:pPr>
        <w:widowControl/>
        <w:jc w:val="center"/>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延期</w:t>
      </w:r>
      <w:r>
        <w:rPr>
          <w:rFonts w:hint="eastAsia" w:ascii="宋体" w:hAnsi="宋体" w:eastAsia="宋体" w:cs="宋体"/>
          <w:kern w:val="0"/>
          <w:sz w:val="32"/>
          <w:szCs w:val="32"/>
        </w:rPr>
        <w:t>公告</w:t>
      </w:r>
    </w:p>
    <w:p w14:paraId="1449A87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广州医科大学附属第四医院2025年度医疗设备听证（十三）在原公告报名期限内，报名单位不足三家，现延期公告如下：</w:t>
      </w:r>
    </w:p>
    <w:p w14:paraId="4BD9C31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389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71B933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2816" w:type="dxa"/>
            <w:vAlign w:val="center"/>
          </w:tcPr>
          <w:p w14:paraId="401DC4A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00D71666">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248" w:type="dxa"/>
            <w:vAlign w:val="center"/>
          </w:tcPr>
          <w:p w14:paraId="38571F0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108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9E6CF4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816" w:type="dxa"/>
            <w:vAlign w:val="center"/>
          </w:tcPr>
          <w:p w14:paraId="07271060">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血液透析滤过装置</w:t>
            </w:r>
          </w:p>
        </w:tc>
        <w:tc>
          <w:tcPr>
            <w:tcW w:w="648" w:type="dxa"/>
            <w:vAlign w:val="center"/>
          </w:tcPr>
          <w:p w14:paraId="56358867">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248" w:type="dxa"/>
            <w:vAlign w:val="center"/>
          </w:tcPr>
          <w:p w14:paraId="252E5F30">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主要用于治疗肾功能衰竭患者，通过清除血液中的代谢废物和多余水分，维持电解质和酸碱平衡。需具备稳定的血流量和透析液流量，确保治疗过程安全可靠。此外，用户界面应直观易用，便于医护人员操作和监控等 </w:t>
            </w:r>
          </w:p>
        </w:tc>
      </w:tr>
      <w:tr w14:paraId="28B7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3C6ACF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816" w:type="dxa"/>
            <w:vAlign w:val="center"/>
          </w:tcPr>
          <w:p w14:paraId="5A3B0D2D">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血液透析装置</w:t>
            </w:r>
          </w:p>
        </w:tc>
        <w:tc>
          <w:tcPr>
            <w:tcW w:w="648" w:type="dxa"/>
            <w:vAlign w:val="center"/>
          </w:tcPr>
          <w:p w14:paraId="39E5F41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248" w:type="dxa"/>
            <w:vAlign w:val="center"/>
          </w:tcPr>
          <w:p w14:paraId="2986CBA9">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需具备的废物清除能力，液体平衡控制，以及高度生物相容性，以保障患者的安全与舒适。操作界面应简洁直观，便于医护人员快速掌握和操作，支持治疗参数调整，以适应不同患者的具体需求等</w:t>
            </w:r>
          </w:p>
        </w:tc>
      </w:tr>
      <w:tr w14:paraId="0E72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F821A7D">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816" w:type="dxa"/>
            <w:vAlign w:val="center"/>
          </w:tcPr>
          <w:p w14:paraId="562821C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支气管镜冷冻治疗仪</w:t>
            </w:r>
          </w:p>
        </w:tc>
        <w:tc>
          <w:tcPr>
            <w:tcW w:w="648" w:type="dxa"/>
            <w:vAlign w:val="center"/>
          </w:tcPr>
          <w:p w14:paraId="62C914F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636ECC2F">
            <w:pPr>
              <w:keepNext w:val="0"/>
              <w:keepLines w:val="0"/>
              <w:widowControl/>
              <w:suppressLineNumbers w:val="0"/>
              <w:jc w:val="both"/>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应用于人体局部组织的冻结并使其失活，用于气管支气管肿瘤，气管内管腔瘢痕狭窄、肉芽肿性病变、管腔病变或活检后引起的出血，气道内坏死物及异物的取出，支气管内膜结核，冷冻取活检等。配备多种直径软管探针等</w:t>
            </w:r>
          </w:p>
        </w:tc>
      </w:tr>
      <w:tr w14:paraId="581D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748199F5">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816" w:type="dxa"/>
            <w:vAlign w:val="center"/>
          </w:tcPr>
          <w:p w14:paraId="4EEF17B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麻醉机</w:t>
            </w:r>
          </w:p>
        </w:tc>
        <w:tc>
          <w:tcPr>
            <w:tcW w:w="648" w:type="dxa"/>
            <w:vAlign w:val="center"/>
          </w:tcPr>
          <w:p w14:paraId="203F1031">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5D334648">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性能稳定，密闭性好，具有自主呼吸、手动通气等不少于三个呼吸模式、、高流量给氧功能、呼末二氧化碳监测、肺复张工具及肺功能环、容量控制、压力限制、废气排放系统等功能，潮气量误差小等</w:t>
            </w:r>
          </w:p>
        </w:tc>
      </w:tr>
      <w:tr w14:paraId="6FD1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57E32C08">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816" w:type="dxa"/>
            <w:vAlign w:val="center"/>
          </w:tcPr>
          <w:p w14:paraId="2D69818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生物反馈胃肠动力仪</w:t>
            </w:r>
          </w:p>
        </w:tc>
        <w:tc>
          <w:tcPr>
            <w:tcW w:w="648" w:type="dxa"/>
            <w:vAlign w:val="center"/>
          </w:tcPr>
          <w:p w14:paraId="58032689">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4F313166">
            <w:pPr>
              <w:keepNext w:val="0"/>
              <w:keepLines w:val="0"/>
              <w:widowControl/>
              <w:suppressLineNumbers w:val="0"/>
              <w:jc w:val="both"/>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具有生物反馈训练软件包，≥8通道生物反馈治疗导管，一台设备能同时治多人等</w:t>
            </w:r>
          </w:p>
        </w:tc>
      </w:tr>
      <w:tr w14:paraId="5A1C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3A1DFCE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816" w:type="dxa"/>
            <w:vAlign w:val="center"/>
          </w:tcPr>
          <w:p w14:paraId="0ED1364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高清胃肠动力检测系统</w:t>
            </w:r>
          </w:p>
        </w:tc>
        <w:tc>
          <w:tcPr>
            <w:tcW w:w="648" w:type="dxa"/>
            <w:vAlign w:val="center"/>
          </w:tcPr>
          <w:p w14:paraId="62E95B05">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6401A3A2">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肛肠测压≥12通道、食管测压≥22通道;生物反馈训练软件包，≥8通道生物反馈治疗导管，具有阻抗和PH值监测功能等</w:t>
            </w:r>
          </w:p>
        </w:tc>
      </w:tr>
      <w:tr w14:paraId="6D6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2E583D3C">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816" w:type="dxa"/>
            <w:vAlign w:val="center"/>
          </w:tcPr>
          <w:p w14:paraId="49CC7A77">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高频电刀手术设备</w:t>
            </w:r>
          </w:p>
        </w:tc>
        <w:tc>
          <w:tcPr>
            <w:tcW w:w="648" w:type="dxa"/>
            <w:vAlign w:val="center"/>
          </w:tcPr>
          <w:p w14:paraId="5311AA98">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1</w:t>
            </w:r>
          </w:p>
        </w:tc>
        <w:tc>
          <w:tcPr>
            <w:tcW w:w="5248" w:type="dxa"/>
            <w:vAlign w:val="center"/>
          </w:tcPr>
          <w:p w14:paraId="66D3889B">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患者胃肠镜检查中止血治疗、肿瘤及病变组织治疗、狭窄及梗阻治疗等多个方面。高频电、氩气一体化，工作频率≥450KHz，最大输出功率≥350W。≥两种工作模式，≥6种切割强度，≥6种凝血效果可调，≥10寸触摸显示屏等</w:t>
            </w:r>
          </w:p>
        </w:tc>
      </w:tr>
    </w:tbl>
    <w:p w14:paraId="165D7D8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53FEAA17">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A5393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6CAACF2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27180BF7">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6CC6D363">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530BE454">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7064B27F">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6</w:t>
      </w:r>
      <w:r>
        <w:rPr>
          <w:rFonts w:ascii="宋体" w:hAnsi="宋体" w:eastAsia="宋体" w:cs="宋体"/>
          <w:kern w:val="0"/>
          <w:szCs w:val="21"/>
        </w:rPr>
        <w:t>月</w:t>
      </w:r>
      <w:r>
        <w:rPr>
          <w:rFonts w:hint="eastAsia" w:ascii="宋体" w:hAnsi="宋体" w:eastAsia="宋体" w:cs="宋体"/>
          <w:kern w:val="0"/>
          <w:szCs w:val="21"/>
          <w:lang w:val="en-US" w:eastAsia="zh-CN"/>
        </w:rPr>
        <w:t>9</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6</w:t>
      </w:r>
      <w:r>
        <w:rPr>
          <w:rFonts w:ascii="宋体" w:hAnsi="宋体" w:eastAsia="宋体" w:cs="宋体"/>
          <w:kern w:val="0"/>
          <w:szCs w:val="21"/>
        </w:rPr>
        <w:t>月</w:t>
      </w:r>
      <w:r>
        <w:rPr>
          <w:rFonts w:hint="eastAsia" w:ascii="宋体" w:hAnsi="宋体" w:eastAsia="宋体" w:cs="宋体"/>
          <w:kern w:val="0"/>
          <w:szCs w:val="21"/>
          <w:lang w:val="en-US" w:eastAsia="zh-CN"/>
        </w:rPr>
        <w:t>11</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26E33696">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14FDCA2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1E53212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5F3EFE97">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0D5AF97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6E87C88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bookmarkStart w:id="1" w:name="_GoBack"/>
      <w:bookmarkEnd w:id="1"/>
    </w:p>
    <w:p w14:paraId="4E5D67E6">
      <w:pPr>
        <w:widowControl/>
        <w:spacing w:before="100" w:beforeAutospacing="1" w:after="100" w:afterAutospacing="1"/>
        <w:ind w:firstLine="288"/>
        <w:jc w:val="left"/>
        <w:rPr>
          <w:rFonts w:hint="eastAsia" w:ascii="宋体" w:hAnsi="宋体" w:eastAsia="宋体" w:cs="宋体"/>
          <w:kern w:val="0"/>
          <w:szCs w:val="21"/>
        </w:rPr>
      </w:pPr>
    </w:p>
    <w:p w14:paraId="070A5257">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3187EED">
      <w:pPr>
        <w:jc w:val="right"/>
        <w:rPr>
          <w:rFonts w:ascii="宋体" w:hAnsi="宋体" w:eastAsia="宋体" w:cs="宋体"/>
          <w:kern w:val="0"/>
          <w:szCs w:val="21"/>
        </w:rPr>
      </w:pPr>
    </w:p>
    <w:p w14:paraId="00FFC449">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BA700F6">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9</w:t>
      </w:r>
      <w:r>
        <w:rPr>
          <w:rFonts w:hint="eastAsia" w:ascii="宋体" w:hAnsi="宋体" w:eastAsia="宋体" w:cs="宋体"/>
          <w:kern w:val="0"/>
          <w:szCs w:val="21"/>
        </w:rPr>
        <w:t>日</w:t>
      </w:r>
    </w:p>
    <w:p w14:paraId="4907682D">
      <w:pPr>
        <w:jc w:val="right"/>
        <w:rPr>
          <w:rFonts w:hint="eastAsia" w:ascii="宋体" w:hAnsi="宋体" w:eastAsia="宋体" w:cs="宋体"/>
          <w:kern w:val="0"/>
          <w:szCs w:val="21"/>
        </w:rPr>
      </w:pPr>
    </w:p>
    <w:p w14:paraId="295B191A">
      <w:pPr>
        <w:jc w:val="right"/>
        <w:rPr>
          <w:rFonts w:hint="eastAsia" w:ascii="宋体" w:hAnsi="宋体" w:eastAsia="宋体" w:cs="宋体"/>
          <w:kern w:val="0"/>
          <w:szCs w:val="21"/>
        </w:rPr>
      </w:pPr>
    </w:p>
    <w:p w14:paraId="0E23DB05">
      <w:pPr>
        <w:jc w:val="right"/>
        <w:rPr>
          <w:rFonts w:hint="eastAsia" w:ascii="宋体" w:hAnsi="宋体" w:eastAsia="宋体" w:cs="宋体"/>
          <w:kern w:val="0"/>
          <w:szCs w:val="21"/>
        </w:rPr>
      </w:pPr>
    </w:p>
    <w:p w14:paraId="055411EF">
      <w:pPr>
        <w:jc w:val="right"/>
        <w:rPr>
          <w:rFonts w:hint="eastAsia" w:ascii="宋体" w:hAnsi="宋体" w:eastAsia="宋体" w:cs="宋体"/>
          <w:kern w:val="0"/>
          <w:szCs w:val="21"/>
        </w:rPr>
      </w:pPr>
    </w:p>
    <w:p w14:paraId="30AAE065">
      <w:pPr>
        <w:jc w:val="right"/>
        <w:rPr>
          <w:rFonts w:hint="eastAsia" w:ascii="宋体" w:hAnsi="宋体" w:eastAsia="宋体" w:cs="宋体"/>
          <w:kern w:val="0"/>
          <w:szCs w:val="21"/>
        </w:rPr>
      </w:pPr>
    </w:p>
    <w:p w14:paraId="5453AE62">
      <w:pPr>
        <w:jc w:val="right"/>
        <w:rPr>
          <w:rFonts w:hint="eastAsia" w:ascii="宋体" w:hAnsi="宋体" w:eastAsia="宋体" w:cs="宋体"/>
          <w:kern w:val="0"/>
          <w:szCs w:val="21"/>
        </w:rPr>
      </w:pPr>
    </w:p>
    <w:p w14:paraId="541FAC92">
      <w:pPr>
        <w:jc w:val="right"/>
        <w:rPr>
          <w:rFonts w:hint="eastAsia" w:ascii="宋体" w:hAnsi="宋体" w:eastAsia="宋体" w:cs="宋体"/>
          <w:kern w:val="0"/>
          <w:szCs w:val="21"/>
        </w:rPr>
      </w:pPr>
    </w:p>
    <w:p w14:paraId="3D2D8422">
      <w:pPr>
        <w:jc w:val="right"/>
        <w:rPr>
          <w:rFonts w:hint="eastAsia" w:ascii="宋体" w:hAnsi="宋体" w:eastAsia="宋体" w:cs="宋体"/>
          <w:kern w:val="0"/>
          <w:szCs w:val="21"/>
        </w:rPr>
      </w:pPr>
    </w:p>
    <w:p w14:paraId="110E3A03">
      <w:pPr>
        <w:jc w:val="both"/>
        <w:rPr>
          <w:rFonts w:hint="eastAsia" w:ascii="宋体" w:hAnsi="宋体" w:eastAsia="宋体" w:cs="宋体"/>
          <w:kern w:val="0"/>
          <w:szCs w:val="21"/>
        </w:rPr>
      </w:pPr>
    </w:p>
    <w:p w14:paraId="2F90BAEA">
      <w:pPr>
        <w:jc w:val="left"/>
        <w:rPr>
          <w:rFonts w:hint="eastAsia" w:ascii="宋体" w:hAnsi="宋体" w:eastAsia="宋体" w:cs="宋体"/>
          <w:kern w:val="0"/>
          <w:szCs w:val="21"/>
          <w:lang w:val="en-US" w:eastAsia="zh-CN"/>
        </w:rPr>
      </w:pPr>
    </w:p>
    <w:p w14:paraId="0A65331E">
      <w:pPr>
        <w:jc w:val="left"/>
        <w:rPr>
          <w:rFonts w:hint="eastAsia" w:ascii="宋体" w:hAnsi="宋体" w:eastAsia="宋体" w:cs="宋体"/>
          <w:kern w:val="0"/>
          <w:szCs w:val="21"/>
          <w:lang w:val="en-US" w:eastAsia="zh-CN"/>
        </w:rPr>
      </w:pPr>
    </w:p>
    <w:p w14:paraId="76AA6881">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103B233D">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643E22C9">
      <w:pPr>
        <w:jc w:val="center"/>
        <w:rPr>
          <w:rFonts w:hint="eastAsia" w:ascii="黑体" w:hAnsi="黑体" w:eastAsia="黑体" w:cs="黑体"/>
          <w:sz w:val="52"/>
          <w:szCs w:val="52"/>
          <w:lang w:val="en-US" w:eastAsia="zh-CN"/>
        </w:rPr>
      </w:pPr>
    </w:p>
    <w:p w14:paraId="04530F9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0B174BD7">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1A03FE10">
      <w:pPr>
        <w:jc w:val="center"/>
        <w:rPr>
          <w:rFonts w:hint="eastAsia" w:ascii="黑体" w:hAnsi="黑体" w:eastAsia="黑体" w:cs="黑体"/>
          <w:sz w:val="52"/>
          <w:szCs w:val="52"/>
          <w:lang w:val="en-US" w:eastAsia="zh-CN"/>
        </w:rPr>
      </w:pPr>
    </w:p>
    <w:p w14:paraId="22D91169">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1C88C69C">
      <w:pPr>
        <w:rPr>
          <w:rFonts w:hint="eastAsia"/>
          <w:lang w:val="en-US" w:eastAsia="zh-CN"/>
        </w:rPr>
      </w:pPr>
    </w:p>
    <w:p w14:paraId="1A6ED2F6">
      <w:pPr>
        <w:rPr>
          <w:rFonts w:hint="eastAsia" w:ascii="黑体" w:hAnsi="黑体" w:eastAsia="黑体" w:cs="黑体"/>
          <w:sz w:val="32"/>
          <w:szCs w:val="32"/>
          <w:lang w:val="en-US" w:eastAsia="zh-CN"/>
        </w:rPr>
      </w:pPr>
    </w:p>
    <w:p w14:paraId="69A9C2E0">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GYSYSBZXTZ202513</w:t>
      </w:r>
    </w:p>
    <w:p w14:paraId="7B77A006">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广州医科大学附属第四医院2025年度医疗设备听证（十三）</w:t>
      </w:r>
    </w:p>
    <w:p w14:paraId="6539CA6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6AAE898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65713B13">
      <w:pPr>
        <w:rPr>
          <w:rFonts w:hint="eastAsia" w:ascii="黑体" w:hAnsi="黑体" w:eastAsia="黑体" w:cs="黑体"/>
          <w:sz w:val="32"/>
          <w:szCs w:val="32"/>
          <w:lang w:val="en-US" w:eastAsia="zh-CN"/>
        </w:rPr>
      </w:pPr>
    </w:p>
    <w:p w14:paraId="0E10190D">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AA9E97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36FF872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3FCBDE4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0B47DBFB">
      <w:pPr>
        <w:rPr>
          <w:rFonts w:hint="eastAsia" w:ascii="黑体" w:hAnsi="黑体" w:eastAsia="黑体" w:cs="黑体"/>
          <w:sz w:val="32"/>
          <w:szCs w:val="32"/>
          <w:lang w:val="en-US" w:eastAsia="zh-CN"/>
        </w:rPr>
      </w:pPr>
    </w:p>
    <w:p w14:paraId="6C24594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4D4D932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2473BFE4">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p w14:paraId="30FCD7D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379B6723">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37CF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5E14893"/>
    <w:rsid w:val="08907387"/>
    <w:rsid w:val="0BBD7257"/>
    <w:rsid w:val="0F4A52C7"/>
    <w:rsid w:val="11915D0D"/>
    <w:rsid w:val="12260CF8"/>
    <w:rsid w:val="15106DCE"/>
    <w:rsid w:val="160D2CC9"/>
    <w:rsid w:val="18683255"/>
    <w:rsid w:val="189C2C81"/>
    <w:rsid w:val="19E95123"/>
    <w:rsid w:val="1BD34839"/>
    <w:rsid w:val="218A52BB"/>
    <w:rsid w:val="237A0A52"/>
    <w:rsid w:val="23F44106"/>
    <w:rsid w:val="275A6452"/>
    <w:rsid w:val="2A7073E3"/>
    <w:rsid w:val="2C60002D"/>
    <w:rsid w:val="2C732934"/>
    <w:rsid w:val="2C8E6136"/>
    <w:rsid w:val="2EAA2956"/>
    <w:rsid w:val="32123919"/>
    <w:rsid w:val="32D23875"/>
    <w:rsid w:val="3D3954D4"/>
    <w:rsid w:val="3D69136E"/>
    <w:rsid w:val="3F5C1CF2"/>
    <w:rsid w:val="42A7342F"/>
    <w:rsid w:val="43211A2B"/>
    <w:rsid w:val="459B3BA5"/>
    <w:rsid w:val="48D563EE"/>
    <w:rsid w:val="4DB4715F"/>
    <w:rsid w:val="4F5E3050"/>
    <w:rsid w:val="51261F2B"/>
    <w:rsid w:val="53F80C41"/>
    <w:rsid w:val="542C1F64"/>
    <w:rsid w:val="5A285D45"/>
    <w:rsid w:val="5B776C60"/>
    <w:rsid w:val="5C0C05B0"/>
    <w:rsid w:val="5F0A34BF"/>
    <w:rsid w:val="600E33F2"/>
    <w:rsid w:val="60100D25"/>
    <w:rsid w:val="60BD2EBC"/>
    <w:rsid w:val="617445B9"/>
    <w:rsid w:val="63D27C36"/>
    <w:rsid w:val="696160E6"/>
    <w:rsid w:val="6A9952D7"/>
    <w:rsid w:val="6B080305"/>
    <w:rsid w:val="6FED6A31"/>
    <w:rsid w:val="70F16351"/>
    <w:rsid w:val="773D3CF5"/>
    <w:rsid w:val="79890A6E"/>
    <w:rsid w:val="79C830A9"/>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3598</Words>
  <Characters>3736</Characters>
  <Lines>12</Lines>
  <Paragraphs>3</Paragraphs>
  <TotalTime>0</TotalTime>
  <ScaleCrop>false</ScaleCrop>
  <LinksUpToDate>false</LinksUpToDate>
  <CharactersWithSpaces>4257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2025-06-09T07:14:06Z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F765BA5C8749486D82ADA14996BDA9A9_13</vt:lpwstr>
  </property>
  <property fmtid="{D5CDD505-2E9C-101B-9397-08002B2CF9AE}" pid="4" name="KSOTemplateDocerSaveRecord">
    <vt:lpwstr>eyJoZGlkIjoiMWIyNmRhNjk1NTMxODYyNGVkZTEwYmJhYTlkMTMyY2EiLCJ1c2VySWQiOiIyNjAwODY1NDMifQ==</vt:lpwstr>
  </property>
</Properties>
</file>