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（十七）</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616AD30">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全自动样品处理系统</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73C088F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样品处理系统配置进样单元、离心单元、去盖单元、加盖单元、样本存储单元及出样单元，可支持多台离心模块接入，整套设备含样本前处理、后处理系统可与分析仪及其他模块连接起来，组成完整的分析前、分析中和分析后系统，实现样本进样、检测、存储的自动化流程。可根据医院需求和发展进行升级，可变换形状布局、延长轨道和扩展功能；急诊样本可优先处理；单模块的样品处理能力：≥950管/小时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凝血分析流水线</w:t>
            </w:r>
          </w:p>
        </w:tc>
        <w:tc>
          <w:tcPr>
            <w:tcW w:w="648" w:type="dxa"/>
            <w:vAlign w:val="center"/>
          </w:tcPr>
          <w:p w14:paraId="295CC2B4">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6019260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用于止血与血栓分子标志物的检测，同时需要手术的病人也必须用全自动凝血分析仪进行检测，避免在手术过程中发生大出血。进出样（含混匀）模块处理速度≥600管/小时、 可连续上样，支持持续拓展，离心速度≥300管/小时，有自动质控模块，有急诊检测能力，七项任意组合综合检测速度≥360 T/h等 </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25089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全自动生化分析仪</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具有急诊测试能力的随机进样全自动生化分析仪，可编程项目参数≥100项，单模块测试速度：分光光度法≥2000 测试/小时，离子选择电极法≥600测试/小时，有样本自动稀释功能，异常标本自动复检功能，可按需灵活拓展成为双模块生化分析仪等</w:t>
            </w:r>
          </w:p>
        </w:tc>
      </w:tr>
      <w:tr w14:paraId="400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10B827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医用离心机</w:t>
            </w:r>
          </w:p>
        </w:tc>
        <w:tc>
          <w:tcPr>
            <w:tcW w:w="648" w:type="dxa"/>
            <w:vAlign w:val="center"/>
          </w:tcPr>
          <w:p w14:paraId="337529BA">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3台</w:t>
            </w:r>
          </w:p>
        </w:tc>
        <w:tc>
          <w:tcPr>
            <w:tcW w:w="5248" w:type="dxa"/>
            <w:vAlign w:val="top"/>
          </w:tcPr>
          <w:p w14:paraId="66AA733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用于离心血液和其他体液标本等</w:t>
            </w:r>
          </w:p>
        </w:tc>
      </w:tr>
      <w:tr w14:paraId="6DF5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B4537AB">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73FED337">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基础器械1</w:t>
            </w:r>
          </w:p>
        </w:tc>
        <w:tc>
          <w:tcPr>
            <w:tcW w:w="648" w:type="dxa"/>
            <w:vAlign w:val="center"/>
          </w:tcPr>
          <w:p w14:paraId="3B238B3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5248" w:type="dxa"/>
            <w:vAlign w:val="center"/>
          </w:tcPr>
          <w:p w14:paraId="5589DE9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用于手术室基础手术</w:t>
            </w:r>
            <w:r>
              <w:rPr>
                <w:rFonts w:hint="eastAsia" w:ascii="宋体" w:hAnsi="宋体" w:eastAsia="宋体" w:cs="宋体"/>
                <w:kern w:val="0"/>
                <w:sz w:val="21"/>
                <w:szCs w:val="21"/>
                <w:lang w:val="en-US" w:eastAsia="zh-CN" w:bidi="ar"/>
              </w:rPr>
              <w:t>，质量可靠、耐用，支持多种消毒方式等，具体器械清单详见附件2</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6A67A1F">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腔镜器械</w:t>
            </w:r>
          </w:p>
        </w:tc>
        <w:tc>
          <w:tcPr>
            <w:tcW w:w="648" w:type="dxa"/>
            <w:vAlign w:val="center"/>
          </w:tcPr>
          <w:p w14:paraId="1CDEE0E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5248" w:type="dxa"/>
            <w:vAlign w:val="center"/>
          </w:tcPr>
          <w:p w14:paraId="40F8A5A1">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w:t>
            </w:r>
            <w:r>
              <w:rPr>
                <w:rFonts w:hint="eastAsia" w:ascii="宋体" w:hAnsi="宋体" w:eastAsia="宋体" w:cs="宋体"/>
                <w:kern w:val="0"/>
                <w:sz w:val="21"/>
                <w:szCs w:val="21"/>
                <w:lang w:val="en-US" w:eastAsia="zh-CN" w:bidi="ar"/>
              </w:rPr>
              <w:t>腹腔镜</w:t>
            </w:r>
            <w:r>
              <w:rPr>
                <w:rFonts w:hint="default" w:ascii="宋体" w:hAnsi="宋体" w:eastAsia="宋体" w:cs="宋体"/>
                <w:kern w:val="0"/>
                <w:sz w:val="21"/>
                <w:szCs w:val="21"/>
                <w:lang w:val="en-US" w:eastAsia="zh-CN" w:bidi="ar"/>
              </w:rPr>
              <w:t>手术</w:t>
            </w:r>
            <w:r>
              <w:rPr>
                <w:rFonts w:hint="eastAsia" w:ascii="宋体" w:hAnsi="宋体" w:eastAsia="宋体" w:cs="宋体"/>
                <w:kern w:val="0"/>
                <w:sz w:val="21"/>
                <w:szCs w:val="21"/>
                <w:lang w:val="en-US" w:eastAsia="zh-CN" w:bidi="ar"/>
              </w:rPr>
              <w:t>，质量可靠、耐用，支持多种消毒方式等，具体器械清单详见附件3</w:t>
            </w:r>
          </w:p>
        </w:tc>
      </w:tr>
      <w:tr w14:paraId="4831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vAlign w:val="center"/>
          </w:tcPr>
          <w:p w14:paraId="331CAFC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7</w:t>
            </w:r>
          </w:p>
        </w:tc>
        <w:tc>
          <w:tcPr>
            <w:tcW w:w="2816" w:type="dxa"/>
            <w:shd w:val="clear"/>
            <w:vAlign w:val="center"/>
          </w:tcPr>
          <w:p w14:paraId="429FCD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基础器械2</w:t>
            </w:r>
          </w:p>
        </w:tc>
        <w:tc>
          <w:tcPr>
            <w:tcW w:w="648" w:type="dxa"/>
            <w:shd w:val="clear"/>
            <w:vAlign w:val="center"/>
          </w:tcPr>
          <w:p w14:paraId="643BEB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等线" w:cs="Times New Roman"/>
                <w:i w:val="0"/>
                <w:iCs w:val="0"/>
                <w:color w:val="000000"/>
                <w:kern w:val="0"/>
                <w:sz w:val="22"/>
                <w:szCs w:val="22"/>
                <w:u w:val="none"/>
                <w:lang w:val="en-US" w:eastAsia="zh-CN" w:bidi="ar"/>
              </w:rPr>
              <w:t>1批</w:t>
            </w:r>
          </w:p>
        </w:tc>
        <w:tc>
          <w:tcPr>
            <w:tcW w:w="5248" w:type="dxa"/>
            <w:shd w:val="clear"/>
            <w:vAlign w:val="center"/>
          </w:tcPr>
          <w:p w14:paraId="1B98381F">
            <w:pPr>
              <w:widowControl/>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含持针钳、吸管（带吸头）、有齿圈钳、拆线剪、眼用剪、无齿镊子等，材质要求等于或优于304不锈钢，详见附件清单</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2</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31FC44F">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附件1：调研论证报名文件</w:t>
      </w:r>
    </w:p>
    <w:p w14:paraId="50BDBFB8">
      <w:pPr>
        <w:widowControl/>
        <w:spacing w:before="100" w:beforeAutospacing="1" w:after="100" w:afterAutospacing="1"/>
        <w:ind w:firstLine="288"/>
        <w:jc w:val="left"/>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附件2：</w:t>
      </w:r>
      <w:r>
        <w:rPr>
          <w:rFonts w:hint="eastAsia" w:ascii="宋体" w:hAnsi="宋体" w:eastAsia="宋体" w:cs="宋体"/>
          <w:b/>
          <w:bCs/>
          <w:i w:val="0"/>
          <w:iCs w:val="0"/>
          <w:color w:val="000000"/>
          <w:kern w:val="0"/>
          <w:sz w:val="21"/>
          <w:szCs w:val="21"/>
          <w:u w:val="none"/>
          <w:lang w:val="en-US" w:eastAsia="zh-CN" w:bidi="ar"/>
        </w:rPr>
        <w:t>基础器械1清单</w:t>
      </w:r>
    </w:p>
    <w:p w14:paraId="6AA4DE0D">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Cs w:val="21"/>
          <w:lang w:val="en-US" w:eastAsia="zh-CN"/>
        </w:rPr>
        <w:t>附件3：</w:t>
      </w:r>
      <w:r>
        <w:rPr>
          <w:rFonts w:hint="eastAsia" w:ascii="宋体" w:hAnsi="宋体" w:eastAsia="宋体" w:cs="宋体"/>
          <w:b/>
          <w:bCs/>
          <w:i w:val="0"/>
          <w:iCs w:val="0"/>
          <w:color w:val="000000"/>
          <w:kern w:val="0"/>
          <w:sz w:val="21"/>
          <w:szCs w:val="21"/>
          <w:u w:val="none"/>
          <w:lang w:val="en-US" w:eastAsia="zh-CN" w:bidi="ar"/>
        </w:rPr>
        <w:t>腔镜器械清单</w:t>
      </w:r>
    </w:p>
    <w:p w14:paraId="6835BE2B">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Cs w:val="21"/>
          <w:lang w:val="en-US" w:eastAsia="zh-CN"/>
        </w:rPr>
        <w:t>附件4：</w:t>
      </w:r>
      <w:r>
        <w:rPr>
          <w:rFonts w:hint="eastAsia" w:ascii="宋体" w:hAnsi="宋体" w:eastAsia="宋体" w:cs="宋体"/>
          <w:b/>
          <w:bCs/>
          <w:i w:val="0"/>
          <w:iCs w:val="0"/>
          <w:color w:val="000000"/>
          <w:kern w:val="0"/>
          <w:sz w:val="21"/>
          <w:szCs w:val="21"/>
          <w:u w:val="none"/>
          <w:lang w:val="en-US" w:eastAsia="zh-CN" w:bidi="ar"/>
        </w:rPr>
        <w:t>基础器械2清单</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p>
    <w:p w14:paraId="191433D7">
      <w:pPr>
        <w:widowControl/>
        <w:spacing w:before="100" w:beforeAutospacing="1" w:after="100" w:afterAutospacing="1"/>
        <w:ind w:firstLine="288"/>
        <w:jc w:val="left"/>
        <w:rPr>
          <w:rFonts w:hint="default" w:ascii="宋体" w:hAnsi="宋体" w:eastAsia="宋体" w:cs="宋体"/>
          <w:b/>
          <w:bCs/>
          <w:i w:val="0"/>
          <w:iCs w:val="0"/>
          <w:color w:val="000000"/>
          <w:kern w:val="0"/>
          <w:sz w:val="21"/>
          <w:szCs w:val="21"/>
          <w:u w:val="none"/>
          <w:lang w:val="en-US" w:eastAsia="zh-CN" w:bidi="ar"/>
        </w:rPr>
      </w:pP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w:t>
      </w:r>
      <w:r>
        <w:rPr>
          <w:rFonts w:hint="eastAsia" w:ascii="宋体" w:hAnsi="宋体" w:eastAsia="宋体" w:cs="宋体"/>
          <w:kern w:val="0"/>
          <w:szCs w:val="21"/>
        </w:rPr>
        <w:t>日</w:t>
      </w:r>
    </w:p>
    <w:p w14:paraId="59422C4A">
      <w:pPr>
        <w:jc w:val="both"/>
        <w:rPr>
          <w:rFonts w:hint="eastAsia" w:ascii="宋体" w:hAnsi="宋体" w:eastAsia="宋体" w:cs="宋体"/>
          <w:kern w:val="0"/>
          <w:szCs w:val="21"/>
        </w:rPr>
      </w:pPr>
    </w:p>
    <w:p w14:paraId="7E0FBD16">
      <w:pPr>
        <w:jc w:val="right"/>
        <w:rPr>
          <w:rFonts w:hint="eastAsia" w:ascii="宋体" w:hAnsi="宋体" w:eastAsia="宋体" w:cs="宋体"/>
          <w:kern w:val="0"/>
          <w:szCs w:val="21"/>
        </w:rPr>
      </w:pPr>
    </w:p>
    <w:p w14:paraId="72D19EDC">
      <w:pPr>
        <w:jc w:val="right"/>
        <w:rPr>
          <w:rFonts w:hint="eastAsia" w:ascii="宋体" w:hAnsi="宋体" w:eastAsia="宋体" w:cs="宋体"/>
          <w:kern w:val="0"/>
          <w:szCs w:val="21"/>
        </w:rPr>
      </w:pPr>
    </w:p>
    <w:p w14:paraId="5BCC9DAF">
      <w:pPr>
        <w:jc w:val="right"/>
        <w:rPr>
          <w:rFonts w:hint="eastAsia" w:ascii="宋体" w:hAnsi="宋体" w:eastAsia="宋体" w:cs="宋体"/>
          <w:kern w:val="0"/>
          <w:szCs w:val="21"/>
        </w:rPr>
      </w:pPr>
    </w:p>
    <w:p w14:paraId="5B564D3F">
      <w:pPr>
        <w:jc w:val="right"/>
        <w:rPr>
          <w:rFonts w:hint="eastAsia" w:ascii="宋体" w:hAnsi="宋体" w:eastAsia="宋体" w:cs="宋体"/>
          <w:kern w:val="0"/>
          <w:szCs w:val="21"/>
        </w:rPr>
      </w:pPr>
    </w:p>
    <w:p w14:paraId="6AEAE769">
      <w:pPr>
        <w:jc w:val="both"/>
        <w:rPr>
          <w:rFonts w:hint="eastAsia" w:ascii="宋体" w:hAnsi="宋体" w:eastAsia="宋体" w:cs="宋体"/>
          <w:kern w:val="0"/>
          <w:szCs w:val="21"/>
        </w:rPr>
      </w:pP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bookmarkStart w:id="1" w:name="_GoBack"/>
      <w:bookmarkEnd w:id="1"/>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GYSYSBZXTZ202513</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广州医科大学附属第四医院2025年度医疗设备听证（十七）</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AD30C7"/>
    <w:rsid w:val="275A6452"/>
    <w:rsid w:val="2A7073E3"/>
    <w:rsid w:val="2C732934"/>
    <w:rsid w:val="2C8E6136"/>
    <w:rsid w:val="2EAA2956"/>
    <w:rsid w:val="32123919"/>
    <w:rsid w:val="32D23875"/>
    <w:rsid w:val="3D3954D4"/>
    <w:rsid w:val="3D69136E"/>
    <w:rsid w:val="42A7342F"/>
    <w:rsid w:val="43211A2B"/>
    <w:rsid w:val="459B3BA5"/>
    <w:rsid w:val="48D563EE"/>
    <w:rsid w:val="4D8A0C41"/>
    <w:rsid w:val="4DB4715F"/>
    <w:rsid w:val="4F5E3050"/>
    <w:rsid w:val="51261F2B"/>
    <w:rsid w:val="53F80C41"/>
    <w:rsid w:val="542C1F64"/>
    <w:rsid w:val="591A3FB4"/>
    <w:rsid w:val="5A285D45"/>
    <w:rsid w:val="5B776C60"/>
    <w:rsid w:val="5C0C05B0"/>
    <w:rsid w:val="5F0A34BF"/>
    <w:rsid w:val="600E33F2"/>
    <w:rsid w:val="60100D25"/>
    <w:rsid w:val="60BD2EBC"/>
    <w:rsid w:val="617445B9"/>
    <w:rsid w:val="63D27C36"/>
    <w:rsid w:val="6A9952D7"/>
    <w:rsid w:val="6B080305"/>
    <w:rsid w:val="6FED6A31"/>
    <w:rsid w:val="70F16351"/>
    <w:rsid w:val="716468BB"/>
    <w:rsid w:val="773D3CF5"/>
    <w:rsid w:val="79890A6E"/>
    <w:rsid w:val="79C830A9"/>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3523</Words>
  <Characters>3664</Characters>
  <Lines>12</Lines>
  <Paragraphs>3</Paragraphs>
  <TotalTime>0</TotalTime>
  <ScaleCrop>false</ScaleCrop>
  <LinksUpToDate>false</LinksUpToDate>
  <CharactersWithSpaces>4160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2025-07-03T06:52:56Z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