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（十六）</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7"/>
        <w:tblW w:w="9670"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360"/>
        <w:gridCol w:w="748"/>
        <w:gridCol w:w="4663"/>
        <w:gridCol w:w="1161"/>
      </w:tblGrid>
      <w:tr w14:paraId="3CA4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65"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49"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674"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143" w:type="dxa"/>
            <w:shd w:val="clear" w:color="auto" w:fill="auto"/>
            <w:vAlign w:val="center"/>
          </w:tcPr>
          <w:p w14:paraId="0E059B07">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rPr>
              <w:t>项目预算（万元）</w:t>
            </w:r>
          </w:p>
        </w:tc>
      </w:tr>
      <w:tr w14:paraId="780A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4616AD3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65" w:type="dxa"/>
            <w:shd w:val="clear" w:color="auto" w:fill="auto"/>
            <w:vAlign w:val="center"/>
          </w:tcPr>
          <w:p w14:paraId="2619A02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教学实验室基础教学设备及耐用品等</w:t>
            </w:r>
          </w:p>
        </w:tc>
        <w:tc>
          <w:tcPr>
            <w:tcW w:w="749" w:type="dxa"/>
            <w:vAlign w:val="center"/>
          </w:tcPr>
          <w:p w14:paraId="67E2B06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1批</w:t>
            </w:r>
          </w:p>
        </w:tc>
        <w:tc>
          <w:tcPr>
            <w:tcW w:w="4674" w:type="dxa"/>
            <w:vAlign w:val="center"/>
          </w:tcPr>
          <w:p w14:paraId="73C088F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含-20℃低温冰箱、二氧化碳培养箱、生物安全柜、全波长酶标仪、超纯水仪、离心机、PCR仪等科研教学设备一批，详见附件2需求清单</w:t>
            </w:r>
          </w:p>
        </w:tc>
        <w:tc>
          <w:tcPr>
            <w:tcW w:w="1143" w:type="dxa"/>
            <w:vAlign w:val="center"/>
          </w:tcPr>
          <w:p w14:paraId="75F6A12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149.79517</w:t>
            </w:r>
          </w:p>
        </w:tc>
      </w:tr>
    </w:tbl>
    <w:p w14:paraId="7B52DAB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（十六）</w:t>
      </w:r>
      <w:r>
        <w:rPr>
          <w:rFonts w:hint="eastAsia" w:ascii="宋体" w:hAnsi="宋体" w:eastAsia="宋体" w:cs="宋体"/>
          <w:kern w:val="0"/>
          <w:sz w:val="21"/>
          <w:szCs w:val="21"/>
        </w:rPr>
        <w:t>本项目不接受联合体报名；</w:t>
      </w:r>
    </w:p>
    <w:p w14:paraId="1B2DF98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26</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+品牌型号+联系方式</w:t>
      </w:r>
      <w:r>
        <w:rPr>
          <w:rFonts w:hint="eastAsia" w:ascii="宋体" w:hAnsi="宋体" w:eastAsia="宋体" w:cs="宋体"/>
          <w:kern w:val="0"/>
          <w:sz w:val="21"/>
          <w:szCs w:val="21"/>
        </w:rPr>
        <w:t>）发至邮箱gysysbzx@163.com，纸质版资料提交时间另行通知</w:t>
      </w:r>
    </w:p>
    <w:p w14:paraId="33DE17F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w:t>
      </w:r>
      <w:r>
        <w:rPr>
          <w:rFonts w:hint="eastAsia" w:ascii="宋体" w:hAnsi="宋体" w:eastAsia="宋体" w:cs="宋体"/>
          <w:kern w:val="0"/>
          <w:sz w:val="21"/>
          <w:szCs w:val="21"/>
          <w:lang w:val="en-US" w:eastAsia="zh-CN"/>
        </w:rPr>
        <w:t>楼21楼第二会议室</w:t>
      </w:r>
    </w:p>
    <w:p w14:paraId="7A0B568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附件1：调研论证报名文件</w:t>
      </w:r>
    </w:p>
    <w:p w14:paraId="634DF2A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附件2：需求清单</w:t>
      </w:r>
      <w:bookmarkStart w:id="2" w:name="_GoBack"/>
      <w:bookmarkEnd w:id="2"/>
    </w:p>
    <w:p w14:paraId="05C24E65">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kern w:val="0"/>
          <w:szCs w:val="21"/>
        </w:rPr>
      </w:pPr>
    </w:p>
    <w:p w14:paraId="73EC9481">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keepNext w:val="0"/>
        <w:keepLines w:val="0"/>
        <w:pageBreakBefore w:val="0"/>
        <w:kinsoku/>
        <w:wordWrap/>
        <w:overflowPunct/>
        <w:topLinePunct w:val="0"/>
        <w:autoSpaceDE/>
        <w:autoSpaceDN/>
        <w:bidi w:val="0"/>
        <w:adjustRightInd/>
        <w:snapToGrid/>
        <w:spacing w:line="360" w:lineRule="auto"/>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20日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GYSYSBZXTZ202616</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广州医科大学附属第四医院2026年度医疗设备听证（十六）</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6"/>
        <w:tblW w:w="86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9"/>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89" w:type="dxa"/>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bl>
    <w:p w14:paraId="504F7A9F">
      <w:pPr>
        <w:jc w:val="left"/>
        <w:rPr>
          <w:rFonts w:hint="eastAsia" w:ascii="仿宋" w:hAnsi="仿宋" w:eastAsia="仿宋" w:cs="仿宋"/>
          <w:sz w:val="32"/>
          <w:szCs w:val="32"/>
          <w:lang w:val="en-US" w:eastAsia="zh-CN"/>
        </w:rPr>
      </w:pPr>
    </w:p>
    <w:p w14:paraId="48543988">
      <w:pPr>
        <w:jc w:val="left"/>
        <w:rPr>
          <w:rFonts w:hint="default"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lang w:val="en-US" w:eastAsia="zh-CN"/>
        </w:rPr>
        <w:t>详见公告附件2“需求清单”-表2《报价表》</w:t>
      </w:r>
    </w:p>
    <w:tbl>
      <w:tblPr>
        <w:tblStyle w:val="6"/>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56C05B4">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6"/>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E326DA6"/>
    <w:rsid w:val="0F4A52C7"/>
    <w:rsid w:val="11915D0D"/>
    <w:rsid w:val="12260CF8"/>
    <w:rsid w:val="15106DCE"/>
    <w:rsid w:val="160D2CC9"/>
    <w:rsid w:val="18683255"/>
    <w:rsid w:val="189C2C81"/>
    <w:rsid w:val="19E95123"/>
    <w:rsid w:val="1BD34839"/>
    <w:rsid w:val="20692D42"/>
    <w:rsid w:val="218A52BB"/>
    <w:rsid w:val="23F44106"/>
    <w:rsid w:val="25AD30C7"/>
    <w:rsid w:val="275A6452"/>
    <w:rsid w:val="28786B3B"/>
    <w:rsid w:val="2A7073E3"/>
    <w:rsid w:val="2C732934"/>
    <w:rsid w:val="2C8E6136"/>
    <w:rsid w:val="2EAA2956"/>
    <w:rsid w:val="32123919"/>
    <w:rsid w:val="32D23875"/>
    <w:rsid w:val="368F3271"/>
    <w:rsid w:val="372D5A0A"/>
    <w:rsid w:val="39225E0E"/>
    <w:rsid w:val="3D3954D4"/>
    <w:rsid w:val="3D69136E"/>
    <w:rsid w:val="3F0F3044"/>
    <w:rsid w:val="42A7342F"/>
    <w:rsid w:val="43211A2B"/>
    <w:rsid w:val="43C4058B"/>
    <w:rsid w:val="45236870"/>
    <w:rsid w:val="459B3BA5"/>
    <w:rsid w:val="48083901"/>
    <w:rsid w:val="48D563EE"/>
    <w:rsid w:val="4D8A0C41"/>
    <w:rsid w:val="4DB4715F"/>
    <w:rsid w:val="4F5E3050"/>
    <w:rsid w:val="51261F2B"/>
    <w:rsid w:val="53F80C41"/>
    <w:rsid w:val="542C1F64"/>
    <w:rsid w:val="57AD6A7F"/>
    <w:rsid w:val="57BA3BBE"/>
    <w:rsid w:val="591A3FB4"/>
    <w:rsid w:val="5A285D45"/>
    <w:rsid w:val="5A7A0500"/>
    <w:rsid w:val="5B776C60"/>
    <w:rsid w:val="5C0C05B0"/>
    <w:rsid w:val="5F0A34BF"/>
    <w:rsid w:val="600E33F2"/>
    <w:rsid w:val="60100D25"/>
    <w:rsid w:val="60BD2EBC"/>
    <w:rsid w:val="617445B9"/>
    <w:rsid w:val="63B3128D"/>
    <w:rsid w:val="63D27C36"/>
    <w:rsid w:val="64940F23"/>
    <w:rsid w:val="67BB2E93"/>
    <w:rsid w:val="6957356D"/>
    <w:rsid w:val="6A9952D7"/>
    <w:rsid w:val="6ACC07BF"/>
    <w:rsid w:val="6B080305"/>
    <w:rsid w:val="6B0A20DA"/>
    <w:rsid w:val="6D831CD0"/>
    <w:rsid w:val="6FED6A31"/>
    <w:rsid w:val="70F16351"/>
    <w:rsid w:val="716468BB"/>
    <w:rsid w:val="75152069"/>
    <w:rsid w:val="773D3CF5"/>
    <w:rsid w:val="79890A6E"/>
    <w:rsid w:val="79C830A9"/>
    <w:rsid w:val="7AB67857"/>
    <w:rsid w:val="7B35123C"/>
    <w:rsid w:val="7B5F7623"/>
    <w:rsid w:val="7B791E00"/>
    <w:rsid w:val="7C797F38"/>
    <w:rsid w:val="7C926E92"/>
    <w:rsid w:val="7D0103E9"/>
    <w:rsid w:val="7E192C5C"/>
    <w:rsid w:val="7F576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Unresolved Mention"/>
    <w:basedOn w:val="8"/>
    <w:semiHidden/>
    <w:unhideWhenUsed/>
    <w:qFormat/>
    <w:uiPriority w:val="99"/>
    <w:rPr>
      <w:color w:val="605E5C"/>
      <w:shd w:val="clear" w:color="auto" w:fill="E1DFDD"/>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font11"/>
    <w:basedOn w:val="8"/>
    <w:qFormat/>
    <w:uiPriority w:val="0"/>
    <w:rPr>
      <w:rFonts w:ascii="font-weight : 400" w:hAnsi="font-weight : 400" w:eastAsia="font-weight : 400" w:cs="font-weight : 400"/>
      <w:color w:val="000000"/>
      <w:sz w:val="22"/>
      <w:szCs w:val="22"/>
      <w:u w:val="none"/>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31"/>
    <w:basedOn w:val="8"/>
    <w:qFormat/>
    <w:uiPriority w:val="0"/>
    <w:rPr>
      <w:rFonts w:hint="eastAsia" w:ascii="宋体" w:hAnsi="宋体" w:eastAsia="宋体" w:cs="宋体"/>
      <w:color w:val="000000"/>
      <w:sz w:val="22"/>
      <w:szCs w:val="22"/>
      <w:u w:val="none"/>
    </w:rPr>
  </w:style>
  <w:style w:type="paragraph" w:styleId="17">
    <w:name w:val="List Paragraph"/>
    <w:basedOn w:val="1"/>
    <w:qFormat/>
    <w:uiPriority w:val="34"/>
    <w:pPr>
      <w:ind w:firstLine="420" w:firstLineChars="200"/>
    </w:p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4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2873</Words>
  <Characters>3008</Characters>
  <Lines>12</Lines>
  <Paragraphs>3</Paragraphs>
  <TotalTime>14</TotalTime>
  <ScaleCrop>false</ScaleCrop>
  <LinksUpToDate>false</LinksUpToDate>
  <CharactersWithSpaces>3414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2026-05-20T02:19:18Z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