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2" w:name="_GoBack"/>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十四</w:t>
      </w:r>
      <w:r>
        <w:rPr>
          <w:rFonts w:hint="eastAsia" w:ascii="宋体" w:hAnsi="宋体" w:eastAsia="宋体" w:cs="宋体"/>
          <w:kern w:val="0"/>
          <w:sz w:val="32"/>
          <w:szCs w:val="32"/>
          <w:lang w:eastAsia="zh-CN"/>
        </w:rPr>
        <w:t>）</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广州医科大学附属第四医院2026年度医疗设备听证（十四）之4“</w:t>
      </w:r>
      <w:r>
        <w:rPr>
          <w:rFonts w:hint="eastAsia" w:ascii="宋体" w:hAnsi="宋体" w:eastAsia="宋体" w:cs="宋体"/>
          <w:i w:val="0"/>
          <w:iCs w:val="0"/>
          <w:color w:val="000000"/>
          <w:kern w:val="0"/>
          <w:sz w:val="21"/>
          <w:szCs w:val="21"/>
          <w:u w:val="none"/>
          <w:lang w:val="en-US" w:eastAsia="zh-CN" w:bidi="ar"/>
        </w:rPr>
        <w:t>多导睡眠监测仪</w:t>
      </w:r>
      <w:r>
        <w:rPr>
          <w:rFonts w:hint="eastAsia" w:ascii="宋体" w:hAnsi="宋体" w:eastAsia="宋体" w:cs="宋体"/>
          <w:kern w:val="0"/>
          <w:szCs w:val="21"/>
          <w:lang w:val="en-US" w:eastAsia="zh-CN"/>
        </w:rPr>
        <w:t>”、5“</w:t>
      </w:r>
      <w:r>
        <w:rPr>
          <w:rFonts w:hint="eastAsia" w:ascii="宋体" w:hAnsi="宋体" w:eastAsia="宋体" w:cs="宋体"/>
          <w:i w:val="0"/>
          <w:iCs w:val="0"/>
          <w:color w:val="000000"/>
          <w:kern w:val="0"/>
          <w:sz w:val="21"/>
          <w:szCs w:val="21"/>
          <w:u w:val="none"/>
          <w:lang w:val="en-US" w:eastAsia="zh-CN" w:bidi="ar"/>
        </w:rPr>
        <w:t>胃镜、肠镜</w:t>
      </w:r>
      <w:r>
        <w:rPr>
          <w:rFonts w:hint="eastAsia" w:ascii="宋体" w:hAnsi="宋体" w:eastAsia="宋体" w:cs="宋体"/>
          <w:kern w:val="0"/>
          <w:szCs w:val="21"/>
          <w:lang w:val="en-US" w:eastAsia="zh-CN"/>
        </w:rPr>
        <w:t>”、7“充气升温装置”、8“同视机”、9“</w:t>
      </w:r>
      <w:r>
        <w:rPr>
          <w:rFonts w:hint="eastAsia" w:ascii="宋体" w:hAnsi="宋体" w:eastAsia="宋体" w:cs="宋体"/>
          <w:i w:val="0"/>
          <w:iCs w:val="0"/>
          <w:color w:val="000000"/>
          <w:kern w:val="0"/>
          <w:sz w:val="21"/>
          <w:szCs w:val="21"/>
          <w:u w:val="none"/>
          <w:lang w:val="en-US" w:eastAsia="zh-CN" w:bidi="ar"/>
        </w:rPr>
        <w:t>激光脉冲磁治疗仪</w:t>
      </w:r>
      <w:r>
        <w:rPr>
          <w:rFonts w:hint="eastAsia" w:ascii="宋体" w:hAnsi="宋体" w:eastAsia="宋体" w:cs="宋体"/>
          <w:kern w:val="0"/>
          <w:szCs w:val="21"/>
          <w:lang w:val="en-US" w:eastAsia="zh-CN"/>
        </w:rPr>
        <w:t>”及10“超激光疼痛治疗仪”在原公告报名期限内，报名单位不足三家，现延期公告如下：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42D22439">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kern w:val="0"/>
                <w:sz w:val="21"/>
                <w:szCs w:val="21"/>
                <w:lang w:val="en-US" w:eastAsia="zh-CN" w:bidi="ar"/>
              </w:rPr>
              <w:t>多导睡眠监测仪</w:t>
            </w:r>
          </w:p>
        </w:tc>
        <w:tc>
          <w:tcPr>
            <w:tcW w:w="648" w:type="dxa"/>
            <w:vAlign w:val="center"/>
          </w:tcPr>
          <w:p w14:paraId="295CC2B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center"/>
          </w:tcPr>
          <w:p w14:paraId="60192602">
            <w:pPr>
              <w:widowControl/>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用于评估患者心肺功能等，可同步记录脑电、呼吸、血氧、心电等10余项生理参数，适用于开展睡眠呼吸障碍的筛查与评估</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Merge w:val="restart"/>
            <w:vAlign w:val="center"/>
          </w:tcPr>
          <w:p w14:paraId="56A67A1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2A673D22">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lang w:val="en-US" w:eastAsia="zh-CN" w:bidi="ar"/>
              </w:rPr>
              <w:t>胃镜</w:t>
            </w:r>
          </w:p>
        </w:tc>
        <w:tc>
          <w:tcPr>
            <w:tcW w:w="648" w:type="dxa"/>
            <w:vAlign w:val="center"/>
          </w:tcPr>
          <w:p w14:paraId="1CDEE0E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center"/>
          </w:tcPr>
          <w:p w14:paraId="40F8A5A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用于上消化道的内镜下检查和治疗，急诊出血，消化道大出血，食道，紧急异物取出，肠镜等检查和手术治疗，高清、宽视野、近焦观察</w:t>
            </w:r>
          </w:p>
        </w:tc>
      </w:tr>
      <w:tr w14:paraId="0A38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Merge w:val="continue"/>
            <w:shd w:val="clear" w:color="auto" w:fill="auto"/>
            <w:vAlign w:val="center"/>
          </w:tcPr>
          <w:p w14:paraId="6E909E8B">
            <w:pPr>
              <w:widowControl/>
              <w:jc w:val="center"/>
              <w:textAlignment w:val="center"/>
              <w:rPr>
                <w:rFonts w:hint="eastAsia" w:ascii="宋体" w:hAnsi="宋体" w:eastAsia="宋体" w:cs="宋体"/>
                <w:kern w:val="0"/>
                <w:sz w:val="21"/>
                <w:szCs w:val="21"/>
                <w:lang w:val="en-US" w:eastAsia="zh-CN" w:bidi="ar"/>
              </w:rPr>
            </w:pPr>
          </w:p>
        </w:tc>
        <w:tc>
          <w:tcPr>
            <w:tcW w:w="2816" w:type="dxa"/>
            <w:shd w:val="clear" w:color="auto" w:fill="auto"/>
            <w:vAlign w:val="center"/>
          </w:tcPr>
          <w:p w14:paraId="5CFBFCA8">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肠镜</w:t>
            </w:r>
          </w:p>
        </w:tc>
        <w:tc>
          <w:tcPr>
            <w:tcW w:w="648" w:type="dxa"/>
            <w:shd w:val="clear" w:color="auto" w:fill="auto"/>
            <w:vAlign w:val="center"/>
          </w:tcPr>
          <w:p w14:paraId="76395721">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1套</w:t>
            </w:r>
          </w:p>
        </w:tc>
        <w:tc>
          <w:tcPr>
            <w:tcW w:w="5248" w:type="dxa"/>
            <w:shd w:val="clear" w:color="auto" w:fill="auto"/>
            <w:vAlign w:val="center"/>
          </w:tcPr>
          <w:p w14:paraId="134AC39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用于下消化道的内镜下检查和治疗，急诊出血，肠镜等检查和手术治疗，高清、宽视野、近焦观察</w:t>
            </w:r>
          </w:p>
        </w:tc>
      </w:tr>
      <w:tr w14:paraId="165F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50B581A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16" w:type="dxa"/>
            <w:shd w:val="clear" w:color="auto" w:fill="auto"/>
            <w:vAlign w:val="center"/>
          </w:tcPr>
          <w:p w14:paraId="2D2D2399">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充气升温装置</w:t>
            </w:r>
          </w:p>
        </w:tc>
        <w:tc>
          <w:tcPr>
            <w:tcW w:w="648" w:type="dxa"/>
            <w:shd w:val="clear" w:color="auto" w:fill="auto"/>
            <w:vAlign w:val="center"/>
          </w:tcPr>
          <w:p w14:paraId="0A1468A7">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1套</w:t>
            </w:r>
          </w:p>
        </w:tc>
        <w:tc>
          <w:tcPr>
            <w:tcW w:w="5248" w:type="dxa"/>
            <w:shd w:val="clear" w:color="auto" w:fill="auto"/>
            <w:vAlign w:val="center"/>
          </w:tcPr>
          <w:p w14:paraId="177D07F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用于迅速提升患者的体温，具备较高的温度精度，广泛的控温范围，安全性高，性能稳定等</w:t>
            </w:r>
          </w:p>
        </w:tc>
      </w:tr>
      <w:tr w14:paraId="45BF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06056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16" w:type="dxa"/>
            <w:shd w:val="clear" w:color="auto" w:fill="auto"/>
            <w:vAlign w:val="center"/>
          </w:tcPr>
          <w:p w14:paraId="6597998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同视机</w:t>
            </w:r>
          </w:p>
        </w:tc>
        <w:tc>
          <w:tcPr>
            <w:tcW w:w="648" w:type="dxa"/>
            <w:shd w:val="clear" w:color="auto" w:fill="auto"/>
            <w:vAlign w:val="center"/>
          </w:tcPr>
          <w:p w14:paraId="56452CE2">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shd w:val="clear" w:color="auto" w:fill="auto"/>
            <w:vAlign w:val="center"/>
          </w:tcPr>
          <w:p w14:paraId="60BB3674">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用于斜弱视患者诊疗，适用于3岁以上各年龄段患者，特别适合儿童斜弱视的筛查与治疗，具有无创、精准等特点，具备三级视功能评估（同时视、融合视、立体视），可精确测量斜视角度（水平/垂直/旋转）等</w:t>
            </w:r>
          </w:p>
        </w:tc>
      </w:tr>
      <w:tr w14:paraId="38A7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38B74AE2">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2816" w:type="dxa"/>
            <w:shd w:val="clear" w:color="auto" w:fill="auto"/>
            <w:vAlign w:val="center"/>
          </w:tcPr>
          <w:p w14:paraId="74F702F2">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激光脉冲磁治疗仪</w:t>
            </w:r>
          </w:p>
        </w:tc>
        <w:tc>
          <w:tcPr>
            <w:tcW w:w="648" w:type="dxa"/>
            <w:shd w:val="clear" w:color="auto" w:fill="auto"/>
            <w:vAlign w:val="center"/>
          </w:tcPr>
          <w:p w14:paraId="41C9F54B">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w:t>
            </w:r>
          </w:p>
        </w:tc>
        <w:tc>
          <w:tcPr>
            <w:tcW w:w="5248" w:type="dxa"/>
            <w:shd w:val="clear" w:color="auto" w:fill="auto"/>
            <w:vAlign w:val="center"/>
          </w:tcPr>
          <w:p w14:paraId="6ABD90A9">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用于患者疼痛治疗，促进伤口和软组织损伤的愈合，控制急性、慢性验证或水肿等，一体式主机，冷却系统高度集成，高效冷却，可靠性强等</w:t>
            </w:r>
          </w:p>
        </w:tc>
      </w:tr>
      <w:tr w14:paraId="68FC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683EE16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c>
          <w:tcPr>
            <w:tcW w:w="2816" w:type="dxa"/>
            <w:shd w:val="clear" w:color="auto" w:fill="auto"/>
            <w:vAlign w:val="center"/>
          </w:tcPr>
          <w:p w14:paraId="1D8C2FD1">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超激光疼痛治疗仪</w:t>
            </w:r>
          </w:p>
        </w:tc>
        <w:tc>
          <w:tcPr>
            <w:tcW w:w="648" w:type="dxa"/>
            <w:shd w:val="clear" w:color="auto" w:fill="auto"/>
            <w:vAlign w:val="center"/>
          </w:tcPr>
          <w:p w14:paraId="71117496">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w:t>
            </w:r>
          </w:p>
        </w:tc>
        <w:tc>
          <w:tcPr>
            <w:tcW w:w="5248" w:type="dxa"/>
            <w:shd w:val="clear" w:color="auto" w:fill="auto"/>
            <w:vAlign w:val="center"/>
          </w:tcPr>
          <w:p w14:paraId="05E952AF">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用于患者颈椎病、肩周炎、腰间盘脱出、网球肘、三叉神经痛、颈背肌筋膜炎；带状疱疹后神经痛、痤疮等。具备连续模式、间隔模式、功率模式等治疗模式；可移动式台车，存储抽屉设计，便于移动与配件管理等</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日至20</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五、听证地点：广州医科大学附属第四医院8号办公楼</w:t>
      </w:r>
      <w:r>
        <w:rPr>
          <w:rFonts w:hint="eastAsia" w:ascii="宋体" w:hAnsi="宋体" w:eastAsia="宋体" w:cs="宋体"/>
          <w:kern w:val="0"/>
          <w:sz w:val="21"/>
          <w:szCs w:val="21"/>
          <w:lang w:val="en-US" w:eastAsia="zh-CN"/>
        </w:rPr>
        <w:t>4楼第三会议室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26日</w:t>
      </w:r>
      <w:bookmarkEnd w:id="2"/>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2BF89262">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7ADD2713">
      <w:pPr>
        <w:jc w:val="center"/>
        <w:rPr>
          <w:rFonts w:hint="eastAsia" w:ascii="黑体" w:hAnsi="黑体" w:eastAsia="黑体" w:cs="黑体"/>
          <w:sz w:val="52"/>
          <w:szCs w:val="52"/>
          <w:lang w:val="en-US" w:eastAsia="zh-CN"/>
        </w:rPr>
      </w:pPr>
    </w:p>
    <w:p w14:paraId="7860F0C0">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7698212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1DA59723">
      <w:pPr>
        <w:jc w:val="center"/>
        <w:rPr>
          <w:rFonts w:hint="eastAsia" w:ascii="黑体" w:hAnsi="黑体" w:eastAsia="黑体" w:cs="黑体"/>
          <w:sz w:val="52"/>
          <w:szCs w:val="52"/>
          <w:lang w:val="en-US" w:eastAsia="zh-CN"/>
        </w:rPr>
      </w:pPr>
    </w:p>
    <w:p w14:paraId="44A1F692">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A3BD63D">
      <w:pPr>
        <w:rPr>
          <w:rFonts w:hint="eastAsia"/>
          <w:lang w:val="en-US" w:eastAsia="zh-CN"/>
        </w:rPr>
      </w:pPr>
    </w:p>
    <w:p w14:paraId="64DB99AB">
      <w:pPr>
        <w:rPr>
          <w:rFonts w:hint="eastAsia" w:ascii="黑体" w:hAnsi="黑体" w:eastAsia="黑体" w:cs="黑体"/>
          <w:sz w:val="32"/>
          <w:szCs w:val="32"/>
          <w:lang w:val="en-US" w:eastAsia="zh-CN"/>
        </w:rPr>
      </w:pPr>
    </w:p>
    <w:p w14:paraId="16B28653">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GYSYSBZXTZ202614</w:t>
      </w:r>
    </w:p>
    <w:p w14:paraId="7EA3590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广州医科大学附属第四医院2026年度医疗设备听证（十四）</w:t>
      </w:r>
    </w:p>
    <w:p w14:paraId="61DF6B1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30E3202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DC7C1A3">
      <w:pPr>
        <w:rPr>
          <w:rFonts w:hint="eastAsia" w:ascii="黑体" w:hAnsi="黑体" w:eastAsia="黑体" w:cs="黑体"/>
          <w:sz w:val="32"/>
          <w:szCs w:val="32"/>
          <w:lang w:val="en-US" w:eastAsia="zh-CN"/>
        </w:rPr>
      </w:pPr>
    </w:p>
    <w:p w14:paraId="3E4E051D">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5621E3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6730419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66E60D8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604B866F">
      <w:pPr>
        <w:rPr>
          <w:rFonts w:hint="eastAsia" w:ascii="黑体" w:hAnsi="黑体" w:eastAsia="黑体" w:cs="黑体"/>
          <w:sz w:val="32"/>
          <w:szCs w:val="32"/>
          <w:lang w:val="en-US" w:eastAsia="zh-CN"/>
        </w:rPr>
      </w:pPr>
    </w:p>
    <w:p w14:paraId="1EB1679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102E28C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8C1F622">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3407CBA0">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8FF3E3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0025B2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7FB544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004209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7DB577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E62C31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A68D71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B9C127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1B2589A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0AF473E">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511AB6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E4DCA3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38D774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171B6F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1387FF3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373F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5752C9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7C09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56AA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57DB40D0">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2D1C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507177A8">
            <w:pPr>
              <w:rPr>
                <w:rFonts w:hint="eastAsia" w:ascii="仿宋" w:hAnsi="仿宋" w:eastAsia="仿宋" w:cs="仿宋"/>
                <w:i w:val="0"/>
                <w:iCs w:val="0"/>
                <w:color w:val="000000"/>
                <w:sz w:val="24"/>
                <w:szCs w:val="24"/>
                <w:u w:val="none"/>
              </w:rPr>
            </w:pPr>
          </w:p>
        </w:tc>
      </w:tr>
      <w:tr w14:paraId="119F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7B539C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929F84E">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81A66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8088C01">
            <w:pPr>
              <w:rPr>
                <w:rFonts w:hint="eastAsia" w:ascii="仿宋" w:hAnsi="仿宋" w:eastAsia="仿宋" w:cs="仿宋"/>
                <w:i w:val="0"/>
                <w:iCs w:val="0"/>
                <w:color w:val="000000"/>
                <w:sz w:val="24"/>
                <w:szCs w:val="24"/>
                <w:u w:val="none"/>
              </w:rPr>
            </w:pPr>
          </w:p>
        </w:tc>
      </w:tr>
      <w:tr w14:paraId="4B88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722AE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062162EF">
            <w:pPr>
              <w:jc w:val="center"/>
              <w:rPr>
                <w:rFonts w:hint="eastAsia" w:ascii="仿宋" w:hAnsi="仿宋" w:eastAsia="仿宋" w:cs="仿宋"/>
                <w:i w:val="0"/>
                <w:iCs w:val="0"/>
                <w:color w:val="000000"/>
                <w:sz w:val="24"/>
                <w:szCs w:val="24"/>
                <w:u w:val="none"/>
              </w:rPr>
            </w:pPr>
          </w:p>
        </w:tc>
      </w:tr>
      <w:tr w14:paraId="61FC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0F0E9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27CDA6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1008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3D79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7EC91F11">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4CA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0C55F49B">
            <w:pPr>
              <w:rPr>
                <w:rFonts w:hint="eastAsia" w:ascii="仿宋" w:hAnsi="仿宋" w:eastAsia="仿宋" w:cs="仿宋"/>
                <w:i w:val="0"/>
                <w:iCs w:val="0"/>
                <w:color w:val="000000"/>
                <w:sz w:val="24"/>
                <w:szCs w:val="24"/>
                <w:u w:val="none"/>
              </w:rPr>
            </w:pPr>
          </w:p>
        </w:tc>
      </w:tr>
      <w:tr w14:paraId="3F18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550360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0774644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C12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07BD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EF6E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36A3C195">
            <w:pPr>
              <w:rPr>
                <w:rFonts w:hint="eastAsia" w:ascii="仿宋" w:hAnsi="仿宋" w:eastAsia="仿宋" w:cs="仿宋"/>
                <w:i w:val="0"/>
                <w:iCs w:val="0"/>
                <w:color w:val="000000"/>
                <w:sz w:val="22"/>
                <w:szCs w:val="22"/>
                <w:u w:val="none"/>
              </w:rPr>
            </w:pPr>
          </w:p>
        </w:tc>
      </w:tr>
      <w:tr w14:paraId="4A1B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17C124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E11C0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1B9214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192B0B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44D6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450441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ACA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7D4C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A02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3F9754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681C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0DB8A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60737F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AACCD3">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CDC8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99E84B">
            <w:pPr>
              <w:rPr>
                <w:rFonts w:hint="eastAsia" w:ascii="仿宋" w:hAnsi="仿宋" w:eastAsia="仿宋" w:cs="仿宋"/>
                <w:i w:val="0"/>
                <w:iCs w:val="0"/>
                <w:color w:val="000000"/>
                <w:sz w:val="22"/>
                <w:szCs w:val="22"/>
                <w:u w:val="none"/>
              </w:rPr>
            </w:pPr>
          </w:p>
        </w:tc>
      </w:tr>
      <w:tr w14:paraId="6FC1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B4FA73">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2F4E8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5F1888B">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2C606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61F5CF">
            <w:pPr>
              <w:rPr>
                <w:rFonts w:hint="eastAsia" w:ascii="仿宋" w:hAnsi="仿宋" w:eastAsia="仿宋" w:cs="仿宋"/>
                <w:i w:val="0"/>
                <w:iCs w:val="0"/>
                <w:color w:val="000000"/>
                <w:sz w:val="22"/>
                <w:szCs w:val="22"/>
                <w:u w:val="none"/>
              </w:rPr>
            </w:pPr>
          </w:p>
        </w:tc>
      </w:tr>
      <w:tr w14:paraId="5220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C730A">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2791B1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BE16B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1ED2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ECFE35">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496CCE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3A7A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2EE0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C934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32721AF">
            <w:pPr>
              <w:jc w:val="left"/>
              <w:rPr>
                <w:rFonts w:hint="eastAsia" w:ascii="仿宋" w:hAnsi="仿宋" w:eastAsia="仿宋" w:cs="仿宋"/>
                <w:i w:val="0"/>
                <w:iCs w:val="0"/>
                <w:color w:val="000000"/>
                <w:sz w:val="22"/>
                <w:szCs w:val="22"/>
                <w:u w:val="none"/>
              </w:rPr>
            </w:pPr>
          </w:p>
        </w:tc>
      </w:tr>
      <w:tr w14:paraId="512A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2E9E5D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C85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7C10E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32F1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26C4E4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688A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3DCF8C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3FDD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60B96FAA">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74E48B6A">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7DBC2E22">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C401C13">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6C9A1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5009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8CA8AE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777F7D8F">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4F35CB5D">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3593E3B2">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5A215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7C573592">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727D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1D0AF7A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75FF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733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C7D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73F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39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30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74B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4B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FA1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70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8BD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C51B">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91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4C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2B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3FC9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4E0E">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AADA">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3B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433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A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88F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999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66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6D6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3246">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9C3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6AC">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755">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6AD9">
            <w:pPr>
              <w:rPr>
                <w:rFonts w:hint="eastAsia" w:ascii="仿宋" w:hAnsi="仿宋" w:eastAsia="仿宋" w:cs="仿宋"/>
                <w:i w:val="0"/>
                <w:iCs w:val="0"/>
                <w:color w:val="000000"/>
                <w:sz w:val="21"/>
                <w:szCs w:val="21"/>
                <w:u w:val="none"/>
              </w:rPr>
            </w:pPr>
          </w:p>
        </w:tc>
      </w:tr>
      <w:tr w14:paraId="75A2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9F47">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5CE7">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5C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1C82">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8297">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C3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6389">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86C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7B2">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BF9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DA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78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9A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9CEE">
            <w:pPr>
              <w:rPr>
                <w:rFonts w:hint="eastAsia" w:ascii="仿宋" w:hAnsi="仿宋" w:eastAsia="仿宋" w:cs="仿宋"/>
                <w:i w:val="0"/>
                <w:iCs w:val="0"/>
                <w:color w:val="000000"/>
                <w:sz w:val="21"/>
                <w:szCs w:val="21"/>
                <w:u w:val="none"/>
              </w:rPr>
            </w:pPr>
          </w:p>
        </w:tc>
      </w:tr>
      <w:tr w14:paraId="5878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A8A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EB4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3A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8925">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44B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DBB">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3C2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46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413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4D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088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3396">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F7A3">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04E">
            <w:pPr>
              <w:rPr>
                <w:rFonts w:hint="eastAsia" w:ascii="仿宋" w:hAnsi="仿宋" w:eastAsia="仿宋" w:cs="仿宋"/>
                <w:i w:val="0"/>
                <w:iCs w:val="0"/>
                <w:color w:val="000000"/>
                <w:sz w:val="21"/>
                <w:szCs w:val="21"/>
                <w:u w:val="none"/>
              </w:rPr>
            </w:pPr>
          </w:p>
        </w:tc>
      </w:tr>
      <w:tr w14:paraId="3B59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EB0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6587">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6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CF3F">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63A0">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2D1">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7B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67F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24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4EA0">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9E78">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D0C6">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380">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993">
            <w:pPr>
              <w:rPr>
                <w:rFonts w:hint="eastAsia" w:ascii="仿宋" w:hAnsi="仿宋" w:eastAsia="仿宋" w:cs="仿宋"/>
                <w:i w:val="0"/>
                <w:iCs w:val="0"/>
                <w:color w:val="000000"/>
                <w:sz w:val="21"/>
                <w:szCs w:val="21"/>
                <w:u w:val="none"/>
              </w:rPr>
            </w:pPr>
          </w:p>
        </w:tc>
      </w:tr>
      <w:tr w14:paraId="02E8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2E65">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B66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7C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BE6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5295">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C861">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579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0FC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DBA6">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C6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41B">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9BC">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1E63">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4CFE">
            <w:pPr>
              <w:rPr>
                <w:rFonts w:hint="eastAsia" w:ascii="仿宋" w:hAnsi="仿宋" w:eastAsia="仿宋" w:cs="仿宋"/>
                <w:i w:val="0"/>
                <w:iCs w:val="0"/>
                <w:color w:val="000000"/>
                <w:sz w:val="21"/>
                <w:szCs w:val="21"/>
                <w:u w:val="none"/>
              </w:rPr>
            </w:pPr>
          </w:p>
        </w:tc>
      </w:tr>
      <w:tr w14:paraId="54E5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E87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21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8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C07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6F1">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DAD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78F0">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945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C12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9519">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BED3">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C6B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886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4BD3">
            <w:pPr>
              <w:rPr>
                <w:rFonts w:hint="eastAsia" w:ascii="仿宋" w:hAnsi="仿宋" w:eastAsia="仿宋" w:cs="仿宋"/>
                <w:i w:val="0"/>
                <w:iCs w:val="0"/>
                <w:color w:val="000000"/>
                <w:sz w:val="21"/>
                <w:szCs w:val="21"/>
                <w:u w:val="none"/>
              </w:rPr>
            </w:pPr>
          </w:p>
        </w:tc>
      </w:tr>
      <w:tr w14:paraId="60B2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4F8B0BC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3F28D08C">
      <w:pPr>
        <w:jc w:val="left"/>
        <w:rPr>
          <w:rFonts w:hint="eastAsia" w:ascii="仿宋" w:hAnsi="仿宋" w:eastAsia="仿宋" w:cs="仿宋"/>
          <w:sz w:val="32"/>
          <w:szCs w:val="32"/>
          <w:lang w:val="en-US" w:eastAsia="zh-CN"/>
        </w:rPr>
      </w:pPr>
    </w:p>
    <w:p w14:paraId="74E33475">
      <w:pPr>
        <w:jc w:val="left"/>
        <w:rPr>
          <w:rFonts w:hint="eastAsia" w:ascii="仿宋" w:hAnsi="仿宋" w:eastAsia="仿宋" w:cs="仿宋"/>
          <w:sz w:val="32"/>
          <w:szCs w:val="32"/>
          <w:lang w:val="en-US" w:eastAsia="zh-CN"/>
        </w:rPr>
      </w:pPr>
    </w:p>
    <w:p w14:paraId="026AB3EA">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444D9E6D">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40E3C7A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1F6513A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56A917E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8A990A4">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E072AE6">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59BA50E8">
      <w:pPr>
        <w:numPr>
          <w:ilvl w:val="0"/>
          <w:numId w:val="0"/>
        </w:numPr>
        <w:jc w:val="left"/>
        <w:rPr>
          <w:rFonts w:hint="eastAsia" w:ascii="黑体" w:hAnsi="黑体" w:eastAsia="黑体" w:cs="黑体"/>
          <w:sz w:val="32"/>
          <w:szCs w:val="32"/>
          <w:lang w:val="en-US" w:eastAsia="zh-CN"/>
        </w:rPr>
      </w:pPr>
    </w:p>
    <w:p w14:paraId="4783584D">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73523">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24656E4B">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7CC3AE88">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604968D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5582D050">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1DF1E98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713A18C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1D93D8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0D2FE2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50D9C8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620E65C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25965A5F">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766341F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3F88918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4BEA9D6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B4A1693">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4C2A09E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61FC771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E2B81DE">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3A85C5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F8C17E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E560C7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351F4EC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3BA9BA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1507299B">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47164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058BFFBF">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F8DF551">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0F265300">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415B2AA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605A8A7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7B8799AA">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8FC833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15B942ED">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02F21E5">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36AC66F9">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17B2FBB4">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02DE46F5">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0618F049">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3B56E995">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5FFB34D9">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1AB39949">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485DC73E">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1B7C899A">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2BE45DB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2EC7110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98E75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5F5850B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0FC4BE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316457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43D98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71C496C3">
      <w:pPr>
        <w:ind w:firstLine="480"/>
        <w:rPr>
          <w:rFonts w:hint="eastAsia" w:ascii="宋体" w:hAnsi="宋体" w:eastAsia="宋体" w:cs="宋体"/>
          <w:sz w:val="24"/>
          <w:szCs w:val="24"/>
          <w:lang w:val="en-US" w:eastAsia="zh-CN"/>
        </w:rPr>
      </w:pPr>
    </w:p>
    <w:p w14:paraId="250F6212">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4A5AD38">
      <w:pPr>
        <w:jc w:val="center"/>
        <w:rPr>
          <w:rFonts w:hint="eastAsia" w:ascii="宋体" w:hAnsi="宋体" w:eastAsia="宋体" w:cs="宋体"/>
          <w:b/>
          <w:sz w:val="24"/>
          <w:szCs w:val="24"/>
        </w:rPr>
      </w:pPr>
    </w:p>
    <w:p w14:paraId="5855D4E8">
      <w:pPr>
        <w:jc w:val="right"/>
        <w:rPr>
          <w:rFonts w:hint="eastAsia" w:ascii="宋体" w:hAnsi="宋体" w:eastAsia="宋体" w:cs="宋体"/>
          <w:sz w:val="24"/>
          <w:szCs w:val="24"/>
        </w:rPr>
      </w:pPr>
    </w:p>
    <w:p w14:paraId="563E68F1">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366D74AB">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08CC617A">
      <w:pPr>
        <w:ind w:firstLine="480"/>
        <w:rPr>
          <w:rFonts w:hint="eastAsia" w:ascii="宋体" w:hAnsi="宋体" w:eastAsia="宋体" w:cs="宋体"/>
          <w:sz w:val="24"/>
          <w:szCs w:val="24"/>
        </w:rPr>
      </w:pPr>
    </w:p>
    <w:p w14:paraId="41BB7216">
      <w:pPr>
        <w:ind w:firstLine="480"/>
        <w:rPr>
          <w:rFonts w:hint="eastAsia" w:ascii="宋体" w:hAnsi="宋体" w:eastAsia="宋体" w:cs="宋体"/>
          <w:sz w:val="24"/>
          <w:szCs w:val="24"/>
        </w:rPr>
      </w:pPr>
    </w:p>
    <w:p w14:paraId="2B3FE3F4">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357757CD">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0D20735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418BD1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2A8A9C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6F56B9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15AA4573">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17A7709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p w14:paraId="2B4C917E">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D27C36"/>
    <w:rsid w:val="6A9952D7"/>
    <w:rsid w:val="6B080305"/>
    <w:rsid w:val="6FED6A31"/>
    <w:rsid w:val="70F16351"/>
    <w:rsid w:val="71154FC8"/>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3212</Words>
  <Characters>3357</Characters>
  <Lines>12</Lines>
  <Paragraphs>3</Paragraphs>
  <TotalTime>1</TotalTime>
  <ScaleCrop>false</ScaleCrop>
  <LinksUpToDate>false</LinksUpToDate>
  <CharactersWithSpaces>3852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2026-05-26T07:00:13Z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DB8EF631C28D4083B68EE5A9D7AE78ED_13</vt:lpwstr>
  </property>
  <property fmtid="{D5CDD505-2E9C-101B-9397-08002B2CF9AE}" pid="4" name="KSOTemplateDocerSaveRecord">
    <vt:lpwstr>eyJoZGlkIjoiMWIyNmRhNjk1NTMxODYyNGVkZTEwYmJhYTlkMTMyY2EiLCJ1c2VySWQiOiIyNjAwODY1NDMifQ==</vt:lpwstr>
  </property>
</Properties>
</file>